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90F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s="方正小标宋简体"/>
          <w:color w:val="000000" w:themeColor="text1"/>
          <w:sz w:val="44"/>
          <w:szCs w:val="44"/>
          <w14:textFill>
            <w14:solidFill>
              <w14:schemeClr w14:val="tx1"/>
            </w14:solidFill>
          </w14:textFill>
        </w:rPr>
      </w:pPr>
      <w:bookmarkStart w:id="0" w:name="_Hlk88124072"/>
      <w:r>
        <w:rPr>
          <w:rFonts w:hint="eastAsia" w:ascii="方正小标宋简体" w:eastAsia="方正小标宋简体" w:cs="方正小标宋简体"/>
          <w:color w:val="000000" w:themeColor="text1"/>
          <w:sz w:val="44"/>
          <w:szCs w:val="44"/>
          <w14:textFill>
            <w14:solidFill>
              <w14:schemeClr w14:val="tx1"/>
            </w14:solidFill>
          </w14:textFill>
        </w:rPr>
        <w:t>关于印发《化学工程学院实验室安全检查处罚细则》的通知</w:t>
      </w:r>
    </w:p>
    <w:p w14:paraId="4DBF0F11">
      <w:pPr>
        <w:spacing w:line="720" w:lineRule="auto"/>
        <w:jc w:val="center"/>
        <w:rPr>
          <w:rFonts w:ascii="方正小标宋简体" w:eastAsia="方正小标宋简体" w:cs="方正小标宋简体"/>
          <w:color w:val="000000" w:themeColor="text1"/>
          <w:sz w:val="44"/>
          <w:szCs w:val="44"/>
          <w14:textFill>
            <w14:solidFill>
              <w14:schemeClr w14:val="tx1"/>
            </w14:solidFill>
          </w14:textFill>
        </w:rPr>
      </w:pPr>
    </w:p>
    <w:p w14:paraId="35B1E66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学院</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学科（中心）、办公室</w:t>
      </w:r>
      <w:r>
        <w:rPr>
          <w:rFonts w:hint="eastAsia" w:ascii="仿宋_GB2312" w:hAnsi="仿宋_GB2312" w:eastAsia="仿宋_GB2312" w:cs="仿宋_GB2312"/>
          <w:color w:val="000000" w:themeColor="text1"/>
          <w:sz w:val="32"/>
          <w:szCs w:val="32"/>
          <w14:textFill>
            <w14:solidFill>
              <w14:schemeClr w14:val="tx1"/>
            </w14:solidFill>
          </w14:textFill>
        </w:rPr>
        <w:t>：</w:t>
      </w:r>
    </w:p>
    <w:p w14:paraId="04E1D4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现将《化学工程学院实验室安全检查处罚细则》下发，请遵照执行。</w:t>
      </w:r>
    </w:p>
    <w:p w14:paraId="669FBB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18EEF63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14:paraId="5A05F7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14:paraId="22699D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化学工程学院</w:t>
      </w:r>
    </w:p>
    <w:p w14:paraId="684A56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2025年4月29日</w:t>
      </w:r>
    </w:p>
    <w:p w14:paraId="60F238D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5A0B3BD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1790DB39">
      <w:pPr>
        <w:spacing w:line="720" w:lineRule="auto"/>
        <w:jc w:val="center"/>
        <w:rPr>
          <w:rFonts w:ascii="方正小标宋简体" w:eastAsia="方正小标宋简体" w:cs="Times New Roman"/>
          <w:color w:val="000000" w:themeColor="text1"/>
          <w:sz w:val="32"/>
          <w:szCs w:val="32"/>
          <w14:textFill>
            <w14:solidFill>
              <w14:schemeClr w14:val="tx1"/>
            </w14:solidFill>
          </w14:textFill>
        </w:rPr>
      </w:pPr>
      <w:r>
        <w:rPr>
          <w:rFonts w:hint="eastAsia" w:ascii="方正小标宋简体" w:eastAsia="方正小标宋简体" w:cs="方正小标宋简体"/>
          <w:color w:val="000000" w:themeColor="text1"/>
          <w:sz w:val="44"/>
          <w:szCs w:val="44"/>
          <w14:textFill>
            <w14:solidFill>
              <w14:schemeClr w14:val="tx1"/>
            </w14:solidFill>
          </w14:textFill>
        </w:rPr>
        <w:t>化学工程学院实验室安全检</w:t>
      </w:r>
      <w:r>
        <w:rPr>
          <w:rFonts w:hint="eastAsia" w:ascii="方正小标宋简体" w:eastAsia="方正小标宋简体" w:cs="方正小标宋简体"/>
          <w:sz w:val="44"/>
          <w:szCs w:val="44"/>
        </w:rPr>
        <w:t>查处罚</w:t>
      </w:r>
      <w:r>
        <w:rPr>
          <w:rFonts w:hint="eastAsia" w:ascii="方正小标宋简体" w:eastAsia="方正小标宋简体" w:cs="方正小标宋简体"/>
          <w:color w:val="000000" w:themeColor="text1"/>
          <w:sz w:val="44"/>
          <w:szCs w:val="44"/>
          <w14:textFill>
            <w14:solidFill>
              <w14:schemeClr w14:val="tx1"/>
            </w14:solidFill>
          </w14:textFill>
        </w:rPr>
        <w:t>细则</w:t>
      </w:r>
      <w:bookmarkEnd w:id="0"/>
    </w:p>
    <w:p w14:paraId="2866F07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s="Times New Roman"/>
          <w:b/>
          <w:bCs/>
          <w:color w:val="000000" w:themeColor="text1"/>
          <w:sz w:val="32"/>
          <w:szCs w:val="32"/>
          <w14:textFill>
            <w14:solidFill>
              <w14:schemeClr w14:val="tx1"/>
            </w14:solidFill>
          </w14:textFill>
        </w:rPr>
      </w:pPr>
      <w:r>
        <w:rPr>
          <w:rFonts w:hint="eastAsia" w:ascii="仿宋_GB2312" w:eastAsia="仿宋_GB2312" w:cs="仿宋_GB2312"/>
          <w:b/>
          <w:bCs/>
          <w:color w:val="000000" w:themeColor="text1"/>
          <w:sz w:val="32"/>
          <w:szCs w:val="32"/>
          <w14:textFill>
            <w14:solidFill>
              <w14:schemeClr w14:val="tx1"/>
            </w14:solidFill>
          </w14:textFill>
        </w:rPr>
        <w:t>第一条</w:t>
      </w:r>
      <w:r>
        <w:rPr>
          <w:rFonts w:ascii="仿宋_GB2312" w:eastAsia="仿宋_GB2312" w:cs="仿宋_GB2312"/>
          <w:b/>
          <w:bCs/>
          <w:color w:val="000000" w:themeColor="text1"/>
          <w:sz w:val="32"/>
          <w:szCs w:val="32"/>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为进一步加强实验室安全管理工作，建立实验室安全督查（检查）的长效机制，根据有</w:t>
      </w:r>
      <w:bookmarkStart w:id="3" w:name="_GoBack"/>
      <w:bookmarkEnd w:id="3"/>
      <w:r>
        <w:rPr>
          <w:rFonts w:hint="eastAsia" w:ascii="仿宋_GB2312" w:eastAsia="仿宋_GB2312" w:cs="仿宋_GB2312"/>
          <w:color w:val="000000" w:themeColor="text1"/>
          <w:sz w:val="32"/>
          <w:szCs w:val="32"/>
          <w14:textFill>
            <w14:solidFill>
              <w14:schemeClr w14:val="tx1"/>
            </w14:solidFill>
          </w14:textFill>
        </w:rPr>
        <w:t xml:space="preserve">关法律法规和学校相关规定，特制订本处罚细则。                     </w:t>
      </w:r>
    </w:p>
    <w:p w14:paraId="241C14A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s="仿宋_GB2312"/>
          <w:color w:val="000000" w:themeColor="text1"/>
          <w:kern w:val="0"/>
          <w:sz w:val="32"/>
          <w:szCs w:val="32"/>
          <w:lang w:val="zh-CN"/>
          <w14:textFill>
            <w14:solidFill>
              <w14:schemeClr w14:val="tx1"/>
            </w14:solidFill>
          </w14:textFill>
        </w:rPr>
      </w:pPr>
      <w:r>
        <w:rPr>
          <w:rFonts w:hint="eastAsia" w:ascii="仿宋_GB2312" w:eastAsia="仿宋_GB2312" w:cs="仿宋_GB2312"/>
          <w:b/>
          <w:bCs/>
          <w:color w:val="000000" w:themeColor="text1"/>
          <w:sz w:val="32"/>
          <w:szCs w:val="32"/>
          <w14:textFill>
            <w14:solidFill>
              <w14:schemeClr w14:val="tx1"/>
            </w14:solidFill>
          </w14:textFill>
        </w:rPr>
        <w:t>第二条</w:t>
      </w:r>
      <w:r>
        <w:rPr>
          <w:rFonts w:ascii="仿宋_GB2312" w:eastAsia="仿宋_GB2312" w:cs="仿宋_GB2312"/>
          <w:b/>
          <w:bCs/>
          <w:color w:val="000000" w:themeColor="text1"/>
          <w:sz w:val="32"/>
          <w:szCs w:val="32"/>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学院实验室安全工作贯彻“以人为本、安全第一、预防为主、综合治理”的方针，坚持“谁使用，谁负责”的原则，</w:t>
      </w:r>
      <w:r>
        <w:rPr>
          <w:rFonts w:hint="eastAsia" w:ascii="仿宋_GB2312" w:eastAsia="仿宋_GB2312" w:cs="仿宋_GB2312"/>
          <w:color w:val="000000" w:themeColor="text1"/>
          <w:kern w:val="0"/>
          <w:sz w:val="32"/>
          <w:szCs w:val="32"/>
          <w:lang w:val="zh-CN"/>
          <w14:textFill>
            <w14:solidFill>
              <w14:schemeClr w14:val="tx1"/>
            </w14:solidFill>
          </w14:textFill>
        </w:rPr>
        <w:t>建立纵向到底、横向到边的实验室安全工作责任制。根据“学院</w:t>
      </w:r>
      <w:r>
        <w:rPr>
          <w:rFonts w:ascii="仿宋_GB2312" w:eastAsia="仿宋_GB2312" w:cs="仿宋_GB2312"/>
          <w:color w:val="000000" w:themeColor="text1"/>
          <w:kern w:val="0"/>
          <w:sz w:val="32"/>
          <w:szCs w:val="32"/>
          <w:lang w:val="zh-CN"/>
          <w14:textFill>
            <w14:solidFill>
              <w14:schemeClr w14:val="tx1"/>
            </w14:solidFill>
          </w14:textFill>
        </w:rPr>
        <w:t>-</w:t>
      </w:r>
      <w:r>
        <w:rPr>
          <w:rFonts w:hint="eastAsia" w:ascii="仿宋_GB2312" w:eastAsia="仿宋_GB2312" w:cs="仿宋_GB2312"/>
          <w:color w:val="000000" w:themeColor="text1"/>
          <w:kern w:val="0"/>
          <w:sz w:val="32"/>
          <w:szCs w:val="32"/>
          <w:lang w:val="zh-CN"/>
          <w14:textFill>
            <w14:solidFill>
              <w14:schemeClr w14:val="tx1"/>
            </w14:solidFill>
          </w14:textFill>
        </w:rPr>
        <w:t>学科</w:t>
      </w:r>
      <w:r>
        <w:rPr>
          <w:rFonts w:ascii="仿宋_GB2312" w:eastAsia="仿宋_GB2312" w:cs="仿宋_GB2312"/>
          <w:color w:val="000000" w:themeColor="text1"/>
          <w:kern w:val="0"/>
          <w:sz w:val="32"/>
          <w:szCs w:val="32"/>
          <w:lang w:val="zh-CN"/>
          <w14:textFill>
            <w14:solidFill>
              <w14:schemeClr w14:val="tx1"/>
            </w14:solidFill>
          </w14:textFill>
        </w:rPr>
        <w:t>-</w:t>
      </w:r>
      <w:r>
        <w:rPr>
          <w:rFonts w:hint="eastAsia" w:ascii="仿宋_GB2312" w:eastAsia="仿宋_GB2312" w:cs="仿宋_GB2312"/>
          <w:color w:val="000000" w:themeColor="text1"/>
          <w:kern w:val="0"/>
          <w:sz w:val="32"/>
          <w:szCs w:val="32"/>
          <w:lang w:val="zh-CN"/>
          <w14:textFill>
            <w14:solidFill>
              <w14:schemeClr w14:val="tx1"/>
            </w14:solidFill>
          </w14:textFill>
        </w:rPr>
        <w:t>实验室或方向（团队）”三级管理体制，学院院长为学院实验室安全第一责任人，实行分管副院长领导下的分工负责制；学科负责人为所在单位实验室安全第一责任人，对应分管副主任为具体责任人；学科方向（团队）或实验室负责人为所在单位实验室安全第一责任人，对应安全员为具体责任人；房间使用者为所在房间第一责任人，对应安全员为具体责任人。</w:t>
      </w:r>
    </w:p>
    <w:p w14:paraId="32CCDB3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b/>
          <w:bCs/>
          <w:color w:val="000000" w:themeColor="text1"/>
          <w:kern w:val="0"/>
          <w:sz w:val="32"/>
          <w:szCs w:val="32"/>
          <w14:textFill>
            <w14:solidFill>
              <w14:schemeClr w14:val="tx1"/>
            </w14:solidFill>
          </w14:textFill>
        </w:rPr>
        <w:t>第三条</w:t>
      </w:r>
      <w:r>
        <w:rPr>
          <w:rFonts w:hint="eastAsia" w:ascii="仿宋_GB2312" w:eastAsia="仿宋_GB2312" w:cs="仿宋_GB2312"/>
          <w:color w:val="000000" w:themeColor="text1"/>
          <w:kern w:val="0"/>
          <w:sz w:val="32"/>
          <w:szCs w:val="32"/>
          <w14:textFill>
            <w14:solidFill>
              <w14:schemeClr w14:val="tx1"/>
            </w14:solidFill>
          </w14:textFill>
        </w:rPr>
        <w:t xml:space="preserve">  学院严抓队伍建设，组建四支多层次、多方位、全覆盖的实验室安全工作队伍。</w:t>
      </w:r>
    </w:p>
    <w:p w14:paraId="0E1B69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color w:val="000000" w:themeColor="text1"/>
          <w:kern w:val="0"/>
          <w:sz w:val="32"/>
          <w:szCs w:val="32"/>
          <w:lang w:val="zh-CN"/>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（一）</w:t>
      </w:r>
      <w:r>
        <w:rPr>
          <w:rFonts w:hint="eastAsia" w:ascii="仿宋_GB2312" w:eastAsia="仿宋_GB2312" w:cs="仿宋_GB2312"/>
          <w:color w:val="000000" w:themeColor="text1"/>
          <w:kern w:val="0"/>
          <w:sz w:val="32"/>
          <w:szCs w:val="32"/>
          <w:lang w:val="zh-CN"/>
          <w14:textFill>
            <w14:solidFill>
              <w14:schemeClr w14:val="tx1"/>
            </w14:solidFill>
          </w14:textFill>
        </w:rPr>
        <w:t>化学工程学院实验室安全工作委员会，由学院领导及各学科、实验中心分管实验室安全管理的副主任组成，全面负责学院实验室安全管理相关工作。</w:t>
      </w:r>
    </w:p>
    <w:p w14:paraId="1522394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color w:val="000000" w:themeColor="text1"/>
          <w:kern w:val="0"/>
          <w:sz w:val="32"/>
          <w:szCs w:val="32"/>
          <w:lang w:val="zh-CN"/>
          <w14:textFill>
            <w14:solidFill>
              <w14:schemeClr w14:val="tx1"/>
            </w14:solidFill>
          </w14:textFill>
        </w:rPr>
      </w:pPr>
      <w:r>
        <w:rPr>
          <w:rFonts w:hint="eastAsia" w:ascii="仿宋_GB2312" w:eastAsia="仿宋_GB2312" w:cs="仿宋_GB2312"/>
          <w:color w:val="000000" w:themeColor="text1"/>
          <w:kern w:val="0"/>
          <w:sz w:val="32"/>
          <w:szCs w:val="32"/>
          <w:lang w:val="zh-CN"/>
          <w14:textFill>
            <w14:solidFill>
              <w14:schemeClr w14:val="tx1"/>
            </w14:solidFill>
          </w14:textFill>
        </w:rPr>
        <w:t>化学工程学院实验室安全工作小组，由分管副院长及各学科实验室安全员老师组成，负责协助实验室安全工作委员会做好实验室安全督导及检查工作。</w:t>
      </w:r>
    </w:p>
    <w:p w14:paraId="673E4C0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color w:val="000000" w:themeColor="text1"/>
          <w:kern w:val="0"/>
          <w:sz w:val="32"/>
          <w:szCs w:val="32"/>
          <w:lang w:val="zh-CN"/>
          <w14:textFill>
            <w14:solidFill>
              <w14:schemeClr w14:val="tx1"/>
            </w14:solidFill>
          </w14:textFill>
        </w:rPr>
      </w:pPr>
      <w:r>
        <w:rPr>
          <w:rFonts w:hint="eastAsia" w:ascii="仿宋_GB2312" w:eastAsia="仿宋_GB2312" w:cs="仿宋_GB2312"/>
          <w:color w:val="000000" w:themeColor="text1"/>
          <w:kern w:val="0"/>
          <w:sz w:val="32"/>
          <w:szCs w:val="32"/>
          <w:lang w:val="zh-CN"/>
          <w14:textFill>
            <w14:solidFill>
              <w14:schemeClr w14:val="tx1"/>
            </w14:solidFill>
          </w14:textFill>
        </w:rPr>
        <w:t>化学工程学院实验室学生环境安全督查小组，由各学科二年级以上研究生组成，负责每月实验室不定期检查及安全隐患整改督查，并协助实验室安全工作小组做好其它实验室安全相关工作。</w:t>
      </w:r>
    </w:p>
    <w:p w14:paraId="1DD12024">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化学工程学院实验室学科学生巡查小组</w:t>
      </w:r>
    </w:p>
    <w:p w14:paraId="72DD79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color w:val="000000" w:themeColor="text1"/>
          <w:kern w:val="0"/>
          <w:sz w:val="32"/>
          <w:szCs w:val="32"/>
          <w:lang w:val="zh-CN"/>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由各学科组织研究生在晚间、周末、节假日等非工作日时间段，做好各个实验楼层的巡视工作。</w:t>
      </w:r>
    </w:p>
    <w:p w14:paraId="463E6BC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s="仿宋_GB2312"/>
          <w:color w:val="000000" w:themeColor="text1"/>
          <w:kern w:val="0"/>
          <w:sz w:val="32"/>
          <w:szCs w:val="32"/>
          <w:lang w:val="zh-CN"/>
          <w14:textFill>
            <w14:solidFill>
              <w14:schemeClr w14:val="tx1"/>
            </w14:solidFill>
          </w14:textFill>
        </w:rPr>
      </w:pPr>
      <w:r>
        <w:rPr>
          <w:rFonts w:hint="eastAsia" w:ascii="仿宋_GB2312" w:eastAsia="仿宋_GB2312" w:cs="仿宋_GB2312"/>
          <w:b/>
          <w:bCs/>
          <w:color w:val="000000" w:themeColor="text1"/>
          <w:sz w:val="32"/>
          <w:szCs w:val="32"/>
          <w14:textFill>
            <w14:solidFill>
              <w14:schemeClr w14:val="tx1"/>
            </w14:solidFill>
          </w14:textFill>
        </w:rPr>
        <w:t>第四条</w:t>
      </w:r>
      <w:r>
        <w:rPr>
          <w:rFonts w:ascii="仿宋_GB2312" w:eastAsia="仿宋_GB2312" w:cs="仿宋_GB2312"/>
          <w:b/>
          <w:bCs/>
          <w:color w:val="000000" w:themeColor="text1"/>
          <w:sz w:val="32"/>
          <w:szCs w:val="32"/>
          <w14:textFill>
            <w14:solidFill>
              <w14:schemeClr w14:val="tx1"/>
            </w14:solidFill>
          </w14:textFill>
        </w:rPr>
        <w:t xml:space="preserve">  </w:t>
      </w:r>
      <w:r>
        <w:rPr>
          <w:rFonts w:hint="eastAsia" w:ascii="仿宋_GB2312" w:eastAsia="仿宋_GB2312" w:cs="仿宋_GB2312"/>
          <w:color w:val="000000" w:themeColor="text1"/>
          <w:kern w:val="0"/>
          <w:sz w:val="32"/>
          <w:szCs w:val="32"/>
          <w:lang w:val="zh-CN"/>
          <w14:textFill>
            <w14:solidFill>
              <w14:schemeClr w14:val="tx1"/>
            </w14:solidFill>
          </w14:textFill>
        </w:rPr>
        <w:t>凡违反学校学院实验室安全管理相关规定（参照《浙江工业大学实验室安全管理办法》、《化工学院实验室安全守则》、《化工学院实验室危险废弃物处置办法》、《浙江工业大学实验室安全检查评分项目表》），或未履行相应职责等造成实验室安全事故的（参照《浙江工业大学实验室安全事故认定与处理办法》、《浙江工业大学学生学生违纪处分办法（修订）》），依据相关规定予以责任认定处罚并追究相关人员责任。</w:t>
      </w:r>
    </w:p>
    <w:p w14:paraId="280024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0"/>
          <w:szCs w:val="30"/>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第五条</w:t>
      </w:r>
      <w:r>
        <w:rPr>
          <w:rFonts w:hint="eastAsia" w:ascii="仿宋_GB2312" w:hAnsi="仿宋_GB2312" w:eastAsia="仿宋_GB2312" w:cs="仿宋_GB2312"/>
          <w:color w:val="000000" w:themeColor="text1"/>
          <w:sz w:val="30"/>
          <w:szCs w:val="30"/>
          <w14:textFill>
            <w14:solidFill>
              <w14:schemeClr w14:val="tx1"/>
            </w14:solidFill>
          </w14:textFill>
        </w:rPr>
        <w:t xml:space="preserve">  </w:t>
      </w:r>
      <w:r>
        <w:rPr>
          <w:rFonts w:hint="eastAsia" w:ascii="仿宋_GB2312" w:eastAsia="仿宋_GB2312" w:cs="仿宋_GB2312"/>
          <w:color w:val="000000" w:themeColor="text1"/>
          <w:kern w:val="0"/>
          <w:sz w:val="32"/>
          <w:szCs w:val="32"/>
          <w:lang w:val="zh-CN"/>
          <w14:textFill>
            <w14:solidFill>
              <w14:schemeClr w14:val="tx1"/>
            </w14:solidFill>
          </w14:textFill>
        </w:rPr>
        <w:t>师生应遵守校院两级实验室安全管理相关规定，违反相关规定的，则追究相关责任人责任，并给予相应处罚：</w:t>
      </w:r>
    </w:p>
    <w:p w14:paraId="116A7BA9">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00" w:firstLineChars="200"/>
        <w:textAlignment w:val="auto"/>
        <w:rPr>
          <w:rFonts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0"/>
          <w:szCs w:val="30"/>
          <w:lang w:val="zh-CN"/>
          <w14:textFill>
            <w14:solidFill>
              <w14:schemeClr w14:val="tx1"/>
            </w14:solidFill>
          </w14:textFill>
        </w:rPr>
        <w:t>1</w:t>
      </w:r>
      <w:r>
        <w:rPr>
          <w:rFonts w:hint="eastAsia" w:ascii="仿宋_GB2312" w:eastAsia="仿宋_GB2312" w:cs="仿宋_GB2312"/>
          <w:color w:val="000000" w:themeColor="text1"/>
          <w:kern w:val="0"/>
          <w:sz w:val="32"/>
          <w:szCs w:val="32"/>
          <w:lang w:val="zh-CN"/>
          <w14:textFill>
            <w14:solidFill>
              <w14:schemeClr w14:val="tx1"/>
            </w14:solidFill>
          </w14:textFill>
        </w:rPr>
        <w:t>.</w:t>
      </w:r>
      <w:bookmarkStart w:id="1" w:name="OLE_LINK2"/>
      <w:r>
        <w:rPr>
          <w:rFonts w:hint="eastAsia" w:ascii="仿宋_GB2312" w:eastAsia="仿宋_GB2312" w:cs="仿宋_GB2312"/>
          <w:color w:val="000000" w:themeColor="text1"/>
          <w:kern w:val="0"/>
          <w:sz w:val="32"/>
          <w:szCs w:val="32"/>
          <w:lang w:val="zh-CN"/>
          <w14:textFill>
            <w14:solidFill>
              <w14:schemeClr w14:val="tx1"/>
            </w14:solidFill>
          </w14:textFill>
        </w:rPr>
        <w:t>学校、学院每月不定期对实验室安全开展抽查。对校督导检查结果《浙江工业大学实验室安全隐患整改通知书》中违反实验室安全规定的行为进行扣分，并对</w:t>
      </w:r>
      <w:bookmarkStart w:id="2" w:name="OLE_LINK1"/>
      <w:r>
        <w:rPr>
          <w:rFonts w:hint="eastAsia" w:ascii="仿宋_GB2312" w:eastAsia="仿宋_GB2312" w:cs="仿宋_GB2312"/>
          <w:color w:val="000000" w:themeColor="text1"/>
          <w:kern w:val="0"/>
          <w:sz w:val="32"/>
          <w:szCs w:val="32"/>
          <w:lang w:val="zh-CN"/>
          <w14:textFill>
            <w14:solidFill>
              <w14:schemeClr w14:val="tx1"/>
            </w14:solidFill>
          </w14:textFill>
        </w:rPr>
        <w:t>责任教师（团队）予以经济处罚</w:t>
      </w:r>
      <w:bookmarkEnd w:id="2"/>
      <w:r>
        <w:rPr>
          <w:rFonts w:hint="eastAsia" w:ascii="仿宋_GB2312" w:eastAsia="仿宋_GB2312" w:cs="仿宋_GB2312"/>
          <w:color w:val="000000" w:themeColor="text1"/>
          <w:kern w:val="0"/>
          <w:sz w:val="32"/>
          <w:szCs w:val="32"/>
          <w:lang w:val="zh-CN"/>
          <w14:textFill>
            <w14:solidFill>
              <w14:schemeClr w14:val="tx1"/>
            </w14:solidFill>
          </w14:textFill>
        </w:rPr>
        <w:t>，扣分标准参见《浙江工业大学实验室安全检查扣分项目表》，处罚标准为100元/</w:t>
      </w:r>
      <w:r>
        <w:rPr>
          <w:rFonts w:hint="eastAsia" w:ascii="仿宋_GB2312" w:hAnsi="仿宋_GB2312" w:eastAsia="仿宋_GB2312" w:cs="仿宋_GB2312"/>
          <w:color w:val="000000" w:themeColor="text1"/>
          <w:sz w:val="30"/>
          <w:szCs w:val="30"/>
          <w14:textFill>
            <w14:solidFill>
              <w14:schemeClr w14:val="tx1"/>
            </w14:solidFill>
          </w14:textFill>
        </w:rPr>
        <w:t>分，</w:t>
      </w:r>
      <w:r>
        <w:rPr>
          <w:rFonts w:hint="eastAsia" w:ascii="仿宋_GB2312" w:eastAsia="仿宋_GB2312" w:cs="仿宋_GB2312"/>
          <w:color w:val="000000" w:themeColor="text1"/>
          <w:kern w:val="0"/>
          <w:sz w:val="32"/>
          <w:szCs w:val="32"/>
          <w:lang w:val="zh-CN"/>
          <w14:textFill>
            <w14:solidFill>
              <w14:schemeClr w14:val="tx1"/>
            </w14:solidFill>
          </w14:textFill>
        </w:rPr>
        <w:t>并于</w:t>
      </w:r>
      <w:r>
        <w:rPr>
          <w:rFonts w:ascii="仿宋_GB2312" w:eastAsia="仿宋_GB2312" w:cs="仿宋_GB2312"/>
          <w:color w:val="000000" w:themeColor="text1"/>
          <w:kern w:val="0"/>
          <w:sz w:val="32"/>
          <w:szCs w:val="32"/>
          <w:lang w:val="zh-CN"/>
          <w14:textFill>
            <w14:solidFill>
              <w14:schemeClr w14:val="tx1"/>
            </w14:solidFill>
          </w14:textFill>
        </w:rPr>
        <w:t>年度绩效考核奖金</w:t>
      </w:r>
      <w:r>
        <w:rPr>
          <w:rFonts w:hint="eastAsia" w:ascii="仿宋_GB2312" w:eastAsia="仿宋_GB2312" w:cs="仿宋_GB2312"/>
          <w:color w:val="000000" w:themeColor="text1"/>
          <w:kern w:val="0"/>
          <w:sz w:val="32"/>
          <w:szCs w:val="32"/>
          <w:lang w:val="zh-CN"/>
          <w14:textFill>
            <w14:solidFill>
              <w14:schemeClr w14:val="tx1"/>
            </w14:solidFill>
          </w14:textFill>
        </w:rPr>
        <w:t>中统一执行扣减。</w:t>
      </w:r>
      <w:bookmarkEnd w:id="1"/>
      <w:r>
        <w:rPr>
          <w:rFonts w:hint="eastAsia" w:ascii="仿宋_GB2312" w:eastAsia="仿宋_GB2312" w:cs="仿宋_GB2312"/>
          <w:color w:val="000000" w:themeColor="text1"/>
          <w:kern w:val="0"/>
          <w:sz w:val="32"/>
          <w:szCs w:val="32"/>
          <w14:textFill>
            <w14:solidFill>
              <w14:schemeClr w14:val="tx1"/>
            </w14:solidFill>
          </w14:textFill>
        </w:rPr>
        <w:t>视情节轻重，给予责任学生口头批评、严重警告或者记过处分。</w:t>
      </w:r>
    </w:p>
    <w:p w14:paraId="7625D650">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lang w:val="zh-CN"/>
          <w14:textFill>
            <w14:solidFill>
              <w14:schemeClr w14:val="tx1"/>
            </w14:solidFill>
          </w14:textFill>
        </w:rPr>
        <w:t>2</w:t>
      </w:r>
      <w:r>
        <w:rPr>
          <w:rFonts w:ascii="仿宋_GB2312" w:eastAsia="仿宋_GB2312" w:cs="仿宋_GB2312"/>
          <w:color w:val="000000" w:themeColor="text1"/>
          <w:kern w:val="0"/>
          <w:sz w:val="32"/>
          <w:szCs w:val="32"/>
          <w:lang w:val="zh-CN"/>
          <w14:textFill>
            <w14:solidFill>
              <w14:schemeClr w14:val="tx1"/>
            </w14:solidFill>
          </w14:textFill>
        </w:rPr>
        <w:t>.</w:t>
      </w:r>
      <w:r>
        <w:rPr>
          <w:rFonts w:hint="eastAsia" w:ascii="仿宋_GB2312" w:eastAsia="仿宋_GB2312" w:cs="仿宋_GB2312"/>
          <w:color w:val="000000" w:themeColor="text1"/>
          <w:kern w:val="0"/>
          <w:sz w:val="32"/>
          <w:szCs w:val="32"/>
          <w:lang w:val="zh-CN"/>
          <w14:textFill>
            <w14:solidFill>
              <w14:schemeClr w14:val="tx1"/>
            </w14:solidFill>
          </w14:textFill>
        </w:rPr>
        <w:t xml:space="preserve"> 造成可控范围的实验室安全事故或达到学校封停整治规定，由化学工程学院实验室安全工作委员会认定后，根据其违反实验室安全规定的程度，经学院党政联席会议批准，1）所在学科、实验中心负责直接封停相关实验室2个星期进行整改；2）责任师生需重新参加实验室安全培训，考核合格后才能申请重新进入实验室开展实验；3）由学院对责任师生进行戒勉谈话。4）扣除责任教师年度绩效考核奖金3000-5000元。5)视</w:t>
      </w:r>
      <w:r>
        <w:rPr>
          <w:rFonts w:hint="eastAsia" w:ascii="仿宋_GB2312" w:eastAsia="仿宋_GB2312" w:cs="仿宋_GB2312"/>
          <w:color w:val="000000" w:themeColor="text1"/>
          <w:kern w:val="0"/>
          <w:sz w:val="32"/>
          <w:szCs w:val="32"/>
          <w14:textFill>
            <w14:solidFill>
              <w14:schemeClr w14:val="tx1"/>
            </w14:solidFill>
          </w14:textFill>
        </w:rPr>
        <w:t>情节</w:t>
      </w:r>
      <w:r>
        <w:rPr>
          <w:rFonts w:hint="eastAsia" w:ascii="仿宋_GB2312" w:eastAsia="仿宋_GB2312" w:cs="仿宋_GB2312"/>
          <w:color w:val="000000" w:themeColor="text1"/>
          <w:kern w:val="0"/>
          <w:sz w:val="32"/>
          <w:szCs w:val="32"/>
          <w:lang w:val="zh-CN"/>
          <w14:textFill>
            <w14:solidFill>
              <w14:schemeClr w14:val="tx1"/>
            </w14:solidFill>
          </w14:textFill>
        </w:rPr>
        <w:t>轻重，取消</w:t>
      </w:r>
      <w:r>
        <w:rPr>
          <w:rFonts w:hint="eastAsia" w:ascii="仿宋_GB2312" w:eastAsia="仿宋_GB2312" w:cs="仿宋_GB2312"/>
          <w:color w:val="000000" w:themeColor="text1"/>
          <w:kern w:val="0"/>
          <w:sz w:val="32"/>
          <w:szCs w:val="32"/>
          <w14:textFill>
            <w14:solidFill>
              <w14:schemeClr w14:val="tx1"/>
            </w14:solidFill>
          </w14:textFill>
        </w:rPr>
        <w:t>师生</w:t>
      </w:r>
      <w:r>
        <w:rPr>
          <w:rFonts w:hint="eastAsia" w:ascii="仿宋_GB2312" w:eastAsia="仿宋_GB2312" w:cs="仿宋_GB2312"/>
          <w:color w:val="000000" w:themeColor="text1"/>
          <w:kern w:val="0"/>
          <w:sz w:val="32"/>
          <w:szCs w:val="32"/>
          <w:lang w:val="zh-CN"/>
          <w14:textFill>
            <w14:solidFill>
              <w14:schemeClr w14:val="tx1"/>
            </w14:solidFill>
          </w14:textFill>
        </w:rPr>
        <w:t>当年评奖评优资格；并对责任学生</w:t>
      </w:r>
      <w:r>
        <w:rPr>
          <w:rFonts w:hint="eastAsia" w:ascii="仿宋_GB2312" w:eastAsia="仿宋_GB2312" w:cs="仿宋_GB2312"/>
          <w:color w:val="000000" w:themeColor="text1"/>
          <w:kern w:val="0"/>
          <w:sz w:val="32"/>
          <w:szCs w:val="32"/>
          <w14:textFill>
            <w14:solidFill>
              <w14:schemeClr w14:val="tx1"/>
            </w14:solidFill>
          </w14:textFill>
        </w:rPr>
        <w:t>给予严</w:t>
      </w:r>
      <w:r>
        <w:rPr>
          <w:rFonts w:hint="eastAsia" w:ascii="仿宋_GB2312" w:eastAsia="仿宋_GB2312" w:cs="仿宋_GB2312"/>
          <w:color w:val="000000" w:themeColor="text1"/>
          <w:kern w:val="0"/>
          <w:sz w:val="32"/>
          <w:szCs w:val="32"/>
          <w:lang w:val="zh-CN"/>
          <w14:textFill>
            <w14:solidFill>
              <w14:schemeClr w14:val="tx1"/>
            </w14:solidFill>
          </w14:textFill>
        </w:rPr>
        <w:t>重警告、记过</w:t>
      </w:r>
      <w:r>
        <w:rPr>
          <w:rFonts w:hint="eastAsia" w:ascii="仿宋_GB2312" w:eastAsia="仿宋_GB2312" w:cs="仿宋_GB2312"/>
          <w:color w:val="000000" w:themeColor="text1"/>
          <w:kern w:val="0"/>
          <w:sz w:val="32"/>
          <w:szCs w:val="32"/>
          <w14:textFill>
            <w14:solidFill>
              <w14:schemeClr w14:val="tx1"/>
            </w14:solidFill>
          </w14:textFill>
        </w:rPr>
        <w:t>或者留校察看处分。</w:t>
      </w:r>
    </w:p>
    <w:p w14:paraId="4FFDB219">
      <w:pPr>
        <w:pStyle w:val="1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lang w:val="zh-CN"/>
          <w14:textFill>
            <w14:solidFill>
              <w14:schemeClr w14:val="tx1"/>
            </w14:solidFill>
          </w14:textFill>
        </w:rPr>
        <w:t>3 造成严重实验室安全事故的，根据学校实验室技术安全工作委员会的事故技术鉴定、及学院实验室安全工作委员会的处理建议，研究最终的处理决定。实验室安全事故实行“一票否决制”，经责任认定后取消责任师生当年评奖评优资格。</w:t>
      </w:r>
      <w:r>
        <w:rPr>
          <w:rFonts w:hint="eastAsia" w:ascii="仿宋_GB2312" w:hAnsi="Calibri" w:eastAsia="仿宋_GB2312" w:cs="仿宋_GB2312"/>
          <w:color w:val="000000" w:themeColor="text1"/>
          <w:kern w:val="0"/>
          <w:sz w:val="32"/>
          <w:szCs w:val="32"/>
          <w:lang w:val="zh-CN"/>
          <w14:textFill>
            <w14:solidFill>
              <w14:schemeClr w14:val="tx1"/>
            </w14:solidFill>
          </w14:textFill>
        </w:rPr>
        <w:t>视情况轻重，责任教师减招或停招下一年度研究生资格，责任学生给予记过，留校查看或开除学籍处分，</w:t>
      </w:r>
      <w:r>
        <w:rPr>
          <w:rFonts w:hint="eastAsia" w:ascii="仿宋_GB2312" w:eastAsia="仿宋_GB2312" w:cs="仿宋_GB2312"/>
          <w:color w:val="000000" w:themeColor="text1"/>
          <w:kern w:val="0"/>
          <w:sz w:val="32"/>
          <w:szCs w:val="32"/>
          <w:lang w:val="zh-CN"/>
          <w14:textFill>
            <w14:solidFill>
              <w14:schemeClr w14:val="tx1"/>
            </w14:solidFill>
          </w14:textFill>
        </w:rPr>
        <w:t>并按《浙江工业大学仪器设备损坏、丢失赔偿处理办法》赔偿所造成的损失。同时，根据实验室安全事故等级，予以相应的处理，触犯法律的交由司法机关依法处理。违反法律法规的，依法给予处罚，并追究有关当事人法律责任。</w:t>
      </w:r>
    </w:p>
    <w:p w14:paraId="794E6CB6">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 xml:space="preserve">第六条  </w:t>
      </w:r>
      <w:r>
        <w:rPr>
          <w:rFonts w:hint="eastAsia" w:ascii="仿宋_GB2312" w:hAnsi="仿宋_GB2312" w:eastAsia="仿宋_GB2312" w:cs="仿宋_GB2312"/>
          <w:color w:val="000000" w:themeColor="text1"/>
          <w:sz w:val="32"/>
          <w:szCs w:val="32"/>
          <w14:textFill>
            <w14:solidFill>
              <w14:schemeClr w14:val="tx1"/>
            </w14:solidFill>
          </w14:textFill>
        </w:rPr>
        <w:t>教职工借用他人实验室期间违反相关规定造成扣分，原则上按照“谁使用，谁负责”执行。</w:t>
      </w:r>
    </w:p>
    <w:p w14:paraId="0CC0D1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color w:val="000000" w:themeColor="text1"/>
          <w:sz w:val="32"/>
          <w:szCs w:val="32"/>
          <w14:textFill>
            <w14:solidFill>
              <w14:schemeClr w14:val="tx1"/>
            </w14:solidFill>
          </w14:textFill>
        </w:rPr>
      </w:pPr>
      <w:r>
        <w:rPr>
          <w:rFonts w:hint="eastAsia" w:ascii="仿宋_GB2312" w:eastAsia="仿宋_GB2312" w:cs="仿宋_GB2312"/>
          <w:color w:val="000000" w:themeColor="text1"/>
          <w:kern w:val="0"/>
          <w:sz w:val="32"/>
          <w:szCs w:val="32"/>
          <w:lang w:val="zh-CN"/>
          <w14:textFill>
            <w14:solidFill>
              <w14:schemeClr w14:val="tx1"/>
            </w14:solidFill>
          </w14:textFill>
        </w:rPr>
        <w:t>第七条</w:t>
      </w:r>
      <w:r>
        <w:rPr>
          <w:rFonts w:ascii="仿宋_GB2312" w:eastAsia="仿宋_GB2312" w:cs="仿宋_GB2312"/>
          <w:color w:val="000000" w:themeColor="text1"/>
          <w:kern w:val="0"/>
          <w:sz w:val="32"/>
          <w:szCs w:val="32"/>
          <w14:textFill>
            <w14:solidFill>
              <w14:schemeClr w14:val="tx1"/>
            </w14:solidFill>
          </w14:textFill>
        </w:rPr>
        <w:t xml:space="preserve">  </w:t>
      </w:r>
      <w:r>
        <w:rPr>
          <w:rFonts w:hint="eastAsia" w:ascii="仿宋_GB2312" w:eastAsia="仿宋_GB2312" w:cs="仿宋_GB2312"/>
          <w:color w:val="000000" w:themeColor="text1"/>
          <w:kern w:val="0"/>
          <w:sz w:val="32"/>
          <w:szCs w:val="32"/>
          <w:lang w:val="zh-CN"/>
          <w14:textFill>
            <w14:solidFill>
              <w14:schemeClr w14:val="tx1"/>
            </w14:solidFill>
          </w14:textFill>
        </w:rPr>
        <w:t>本细则</w:t>
      </w:r>
      <w:r>
        <w:rPr>
          <w:rFonts w:hint="eastAsia" w:ascii="仿宋_GB2312" w:eastAsia="仿宋_GB2312" w:cs="仿宋_GB2312"/>
          <w:color w:val="000000" w:themeColor="text1"/>
          <w:sz w:val="32"/>
          <w:szCs w:val="32"/>
          <w14:textFill>
            <w14:solidFill>
              <w14:schemeClr w14:val="tx1"/>
            </w14:solidFill>
          </w14:textFill>
        </w:rPr>
        <w:t>未尽事宜，按国家有关法律规定与我校规章制度执行。</w:t>
      </w:r>
    </w:p>
    <w:p w14:paraId="2FF1773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Cs/>
          <w:color w:val="000000"/>
          <w:sz w:val="30"/>
          <w:szCs w:val="30"/>
        </w:rPr>
      </w:pPr>
      <w:r>
        <w:rPr>
          <w:rFonts w:hint="eastAsia" w:ascii="仿宋_GB2312" w:eastAsia="仿宋_GB2312" w:cs="仿宋_GB2312"/>
          <w:b/>
          <w:bCs/>
          <w:color w:val="000000" w:themeColor="text1"/>
          <w:kern w:val="0"/>
          <w:sz w:val="32"/>
          <w:szCs w:val="32"/>
          <w:lang w:val="zh-CN"/>
          <w14:textFill>
            <w14:solidFill>
              <w14:schemeClr w14:val="tx1"/>
            </w14:solidFill>
          </w14:textFill>
        </w:rPr>
        <w:t>第八条</w:t>
      </w:r>
      <w:r>
        <w:rPr>
          <w:rFonts w:ascii="仿宋_GB2312" w:eastAsia="仿宋_GB2312" w:cs="仿宋_GB2312"/>
          <w:b/>
          <w:bCs/>
          <w:color w:val="000000" w:themeColor="text1"/>
          <w:kern w:val="0"/>
          <w:sz w:val="32"/>
          <w:szCs w:val="32"/>
          <w14:textFill>
            <w14:solidFill>
              <w14:schemeClr w14:val="tx1"/>
            </w14:solidFill>
          </w14:textFill>
        </w:rPr>
        <w:t xml:space="preserve">  </w:t>
      </w:r>
      <w:r>
        <w:rPr>
          <w:rFonts w:hint="eastAsia" w:ascii="仿宋_GB2312" w:eastAsia="仿宋_GB2312" w:cs="仿宋_GB2312"/>
          <w:color w:val="000000" w:themeColor="text1"/>
          <w:kern w:val="0"/>
          <w:sz w:val="32"/>
          <w:szCs w:val="32"/>
          <w:lang w:val="zh-CN"/>
          <w14:textFill>
            <w14:solidFill>
              <w14:schemeClr w14:val="tx1"/>
            </w14:solidFill>
          </w14:textFill>
        </w:rPr>
        <w:t>本细则由</w:t>
      </w:r>
      <w:r>
        <w:rPr>
          <w:rFonts w:hint="eastAsia" w:ascii="仿宋_GB2312" w:eastAsia="仿宋_GB2312" w:cs="仿宋_GB2312"/>
          <w:color w:val="000000" w:themeColor="text1"/>
          <w:sz w:val="32"/>
          <w:szCs w:val="32"/>
          <w14:textFill>
            <w14:solidFill>
              <w14:schemeClr w14:val="tx1"/>
            </w14:solidFill>
          </w14:textFill>
        </w:rPr>
        <w:t>学院党政联席会议讨论通过，自公布之日起实施，由学院实验室安全工作委员会负责解释。</w:t>
      </w:r>
    </w:p>
    <w:p w14:paraId="5165A6BD">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cs="仿宋_GB2312"/>
          <w:color w:val="000000" w:themeColor="text1"/>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3FA74504">
      <w:pPr>
        <w:spacing w:after="312" w:afterLines="100" w:line="360" w:lineRule="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附件1</w:t>
      </w:r>
    </w:p>
    <w:p w14:paraId="198EA15D">
      <w:pPr>
        <w:spacing w:line="600" w:lineRule="exact"/>
        <w:ind w:firstLine="880" w:firstLineChars="200"/>
        <w:jc w:val="center"/>
        <w:rPr>
          <w:rFonts w:hint="eastAsia" w:ascii="方正小标宋_GBK" w:hAnsi="华文楷体" w:eastAsia="方正小标宋_GBK" w:cs="华文楷体"/>
          <w:bCs/>
          <w:sz w:val="44"/>
          <w:szCs w:val="44"/>
        </w:rPr>
      </w:pPr>
      <w:r>
        <w:rPr>
          <w:rFonts w:hint="eastAsia" w:ascii="方正小标宋_GBK" w:hAnsi="华文楷体" w:eastAsia="方正小标宋_GBK" w:cs="华文楷体"/>
          <w:bCs/>
          <w:sz w:val="44"/>
          <w:szCs w:val="44"/>
        </w:rPr>
        <w:t>浙江工业大学实验室安全环保督查考核扣分细则</w:t>
      </w:r>
    </w:p>
    <w:tbl>
      <w:tblPr>
        <w:tblStyle w:val="8"/>
        <w:tblW w:w="14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0"/>
        <w:gridCol w:w="1276"/>
        <w:gridCol w:w="10348"/>
        <w:gridCol w:w="850"/>
        <w:gridCol w:w="851"/>
      </w:tblGrid>
      <w:tr w14:paraId="4FA34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807" w:type="dxa"/>
            <w:vAlign w:val="center"/>
          </w:tcPr>
          <w:p w14:paraId="1E9F3200">
            <w:pPr>
              <w:spacing w:line="360" w:lineRule="exact"/>
              <w:jc w:val="center"/>
              <w:rPr>
                <w:rFonts w:hint="eastAsia" w:ascii="华文楷体" w:hAnsi="华文楷体" w:eastAsia="华文楷体" w:cs="华文楷体"/>
                <w:b/>
                <w:bCs/>
                <w:sz w:val="28"/>
                <w:szCs w:val="28"/>
              </w:rPr>
            </w:pPr>
            <w:r>
              <w:rPr>
                <w:rFonts w:hint="eastAsia" w:ascii="华文楷体" w:hAnsi="华文楷体" w:eastAsia="华文楷体" w:cs="华文楷体"/>
                <w:b/>
                <w:bCs/>
                <w:sz w:val="28"/>
                <w:szCs w:val="28"/>
              </w:rPr>
              <w:t>序号</w:t>
            </w:r>
          </w:p>
        </w:tc>
        <w:tc>
          <w:tcPr>
            <w:tcW w:w="1286" w:type="dxa"/>
            <w:gridSpan w:val="2"/>
            <w:vAlign w:val="center"/>
          </w:tcPr>
          <w:p w14:paraId="7BBA9C56">
            <w:pPr>
              <w:spacing w:line="360" w:lineRule="exact"/>
              <w:jc w:val="center"/>
              <w:rPr>
                <w:rFonts w:hint="eastAsia" w:ascii="华文楷体" w:hAnsi="华文楷体" w:eastAsia="华文楷体" w:cs="华文楷体"/>
                <w:b/>
                <w:bCs/>
                <w:sz w:val="28"/>
                <w:szCs w:val="28"/>
              </w:rPr>
            </w:pPr>
            <w:r>
              <w:rPr>
                <w:rFonts w:hint="eastAsia" w:ascii="华文楷体" w:hAnsi="华文楷体" w:eastAsia="华文楷体" w:cs="华文楷体"/>
                <w:b/>
                <w:bCs/>
                <w:sz w:val="28"/>
                <w:szCs w:val="28"/>
              </w:rPr>
              <w:t>项目</w:t>
            </w:r>
          </w:p>
        </w:tc>
        <w:tc>
          <w:tcPr>
            <w:tcW w:w="10348" w:type="dxa"/>
            <w:vAlign w:val="center"/>
          </w:tcPr>
          <w:p w14:paraId="40A41BAE">
            <w:pPr>
              <w:spacing w:line="360" w:lineRule="exact"/>
              <w:jc w:val="center"/>
              <w:rPr>
                <w:rFonts w:hint="eastAsia" w:ascii="华文楷体" w:hAnsi="华文楷体" w:eastAsia="华文楷体" w:cs="华文楷体"/>
                <w:b/>
                <w:bCs/>
                <w:sz w:val="28"/>
                <w:szCs w:val="28"/>
              </w:rPr>
            </w:pPr>
            <w:r>
              <w:rPr>
                <w:rFonts w:hint="eastAsia" w:ascii="华文楷体" w:hAnsi="华文楷体" w:eastAsia="华文楷体" w:cs="华文楷体"/>
                <w:b/>
                <w:bCs/>
                <w:sz w:val="28"/>
                <w:szCs w:val="28"/>
              </w:rPr>
              <w:t>扣分依据</w:t>
            </w:r>
          </w:p>
        </w:tc>
        <w:tc>
          <w:tcPr>
            <w:tcW w:w="850" w:type="dxa"/>
            <w:vAlign w:val="center"/>
          </w:tcPr>
          <w:p w14:paraId="697EF6BC">
            <w:pPr>
              <w:spacing w:line="360" w:lineRule="exact"/>
              <w:jc w:val="center"/>
              <w:rPr>
                <w:rFonts w:hint="eastAsia" w:ascii="华文楷体" w:hAnsi="华文楷体" w:eastAsia="华文楷体" w:cs="华文楷体"/>
                <w:b/>
                <w:bCs/>
                <w:sz w:val="28"/>
                <w:szCs w:val="28"/>
              </w:rPr>
            </w:pPr>
            <w:r>
              <w:rPr>
                <w:rFonts w:hint="eastAsia" w:ascii="华文楷体" w:hAnsi="华文楷体" w:eastAsia="华文楷体" w:cs="华文楷体"/>
                <w:b/>
                <w:bCs/>
                <w:sz w:val="28"/>
                <w:szCs w:val="28"/>
              </w:rPr>
              <w:t>分值</w:t>
            </w:r>
          </w:p>
        </w:tc>
        <w:tc>
          <w:tcPr>
            <w:tcW w:w="851" w:type="dxa"/>
            <w:vAlign w:val="center"/>
          </w:tcPr>
          <w:p w14:paraId="03F40EB5">
            <w:pPr>
              <w:spacing w:line="360" w:lineRule="exact"/>
              <w:jc w:val="center"/>
              <w:rPr>
                <w:rFonts w:hint="eastAsia" w:ascii="华文楷体" w:hAnsi="华文楷体" w:eastAsia="华文楷体" w:cs="华文楷体"/>
                <w:b/>
                <w:bCs/>
                <w:sz w:val="28"/>
                <w:szCs w:val="28"/>
              </w:rPr>
            </w:pPr>
            <w:r>
              <w:rPr>
                <w:rFonts w:hint="eastAsia" w:ascii="华文楷体" w:hAnsi="华文楷体" w:eastAsia="华文楷体" w:cs="华文楷体"/>
                <w:b/>
                <w:bCs/>
                <w:sz w:val="28"/>
                <w:szCs w:val="28"/>
              </w:rPr>
              <w:t>备注</w:t>
            </w:r>
          </w:p>
        </w:tc>
      </w:tr>
      <w:tr w14:paraId="3350C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07" w:type="dxa"/>
            <w:vMerge w:val="restart"/>
          </w:tcPr>
          <w:p w14:paraId="69F3D567">
            <w:pPr>
              <w:spacing w:line="360" w:lineRule="exact"/>
              <w:jc w:val="center"/>
              <w:rPr>
                <w:rFonts w:hint="eastAsia" w:ascii="华文楷体" w:hAnsi="华文楷体" w:eastAsia="华文楷体" w:cs="华文楷体"/>
                <w:b/>
                <w:bCs/>
                <w:sz w:val="24"/>
              </w:rPr>
            </w:pPr>
          </w:p>
          <w:p w14:paraId="786397F0">
            <w:pPr>
              <w:spacing w:line="360" w:lineRule="exact"/>
              <w:jc w:val="center"/>
              <w:rPr>
                <w:rFonts w:hint="eastAsia" w:ascii="华文楷体" w:hAnsi="华文楷体" w:eastAsia="华文楷体" w:cs="华文楷体"/>
                <w:sz w:val="24"/>
              </w:rPr>
            </w:pPr>
            <w:r>
              <w:rPr>
                <w:rFonts w:hint="eastAsia" w:ascii="华文楷体" w:hAnsi="华文楷体" w:eastAsia="华文楷体" w:cs="华文楷体"/>
                <w:b/>
                <w:bCs/>
                <w:sz w:val="24"/>
              </w:rPr>
              <w:t>1</w:t>
            </w:r>
          </w:p>
        </w:tc>
        <w:tc>
          <w:tcPr>
            <w:tcW w:w="1286" w:type="dxa"/>
            <w:gridSpan w:val="2"/>
            <w:vMerge w:val="restart"/>
          </w:tcPr>
          <w:p w14:paraId="1BFB104F">
            <w:pPr>
              <w:spacing w:line="360" w:lineRule="exact"/>
              <w:jc w:val="center"/>
              <w:rPr>
                <w:rFonts w:hint="eastAsia" w:ascii="华文楷体" w:hAnsi="华文楷体" w:eastAsia="华文楷体" w:cs="华文楷体"/>
                <w:b/>
                <w:bCs/>
                <w:sz w:val="24"/>
              </w:rPr>
            </w:pPr>
          </w:p>
          <w:p w14:paraId="07FDA2AB">
            <w:pPr>
              <w:spacing w:line="360" w:lineRule="exact"/>
              <w:jc w:val="center"/>
              <w:rPr>
                <w:rFonts w:hint="eastAsia" w:ascii="华文楷体" w:hAnsi="华文楷体" w:eastAsia="华文楷体" w:cs="华文楷体"/>
                <w:b/>
                <w:bCs/>
                <w:sz w:val="24"/>
              </w:rPr>
            </w:pPr>
            <w:r>
              <w:rPr>
                <w:rFonts w:hint="eastAsia" w:ascii="华文楷体" w:hAnsi="华文楷体" w:eastAsia="华文楷体" w:cs="华文楷体"/>
                <w:b/>
                <w:bCs/>
                <w:sz w:val="24"/>
              </w:rPr>
              <w:t>规章制度</w:t>
            </w:r>
          </w:p>
        </w:tc>
        <w:tc>
          <w:tcPr>
            <w:tcW w:w="10348" w:type="dxa"/>
          </w:tcPr>
          <w:p w14:paraId="6CF16FB4">
            <w:pPr>
              <w:spacing w:line="360" w:lineRule="exact"/>
              <w:rPr>
                <w:rFonts w:hint="eastAsia" w:ascii="华文楷体" w:hAnsi="华文楷体" w:eastAsia="华文楷体" w:cs="华文楷体"/>
              </w:rPr>
            </w:pPr>
            <w:r>
              <w:rPr>
                <w:rFonts w:hint="eastAsia" w:ascii="华文楷体" w:hAnsi="华文楷体" w:eastAsia="华文楷体" w:cs="华文楷体"/>
                <w:spacing w:val="-16"/>
                <w:kern w:val="0"/>
              </w:rPr>
              <w:t>（1）没有或不健全符合学科实际的安全管理制度、安全自查制度和值班值日制度，并没有自查和值日台本记录。</w:t>
            </w:r>
          </w:p>
        </w:tc>
        <w:tc>
          <w:tcPr>
            <w:tcW w:w="850" w:type="dxa"/>
            <w:vAlign w:val="center"/>
          </w:tcPr>
          <w:p w14:paraId="5581F735">
            <w:pPr>
              <w:spacing w:line="360" w:lineRule="exact"/>
              <w:jc w:val="center"/>
              <w:rPr>
                <w:rFonts w:hint="eastAsia" w:ascii="华文楷体" w:hAnsi="华文楷体" w:eastAsia="华文楷体" w:cs="华文楷体"/>
                <w:sz w:val="24"/>
              </w:rPr>
            </w:pPr>
            <w:r>
              <w:rPr>
                <w:rFonts w:hint="eastAsia" w:ascii="华文楷体" w:hAnsi="华文楷体" w:eastAsia="华文楷体" w:cs="华文楷体"/>
                <w:sz w:val="24"/>
              </w:rPr>
              <w:t>1分</w:t>
            </w:r>
          </w:p>
        </w:tc>
        <w:tc>
          <w:tcPr>
            <w:tcW w:w="851" w:type="dxa"/>
          </w:tcPr>
          <w:p w14:paraId="78047C21">
            <w:pPr>
              <w:spacing w:line="360" w:lineRule="exact"/>
              <w:jc w:val="center"/>
              <w:rPr>
                <w:rFonts w:hint="eastAsia" w:ascii="华文楷体" w:hAnsi="华文楷体" w:eastAsia="华文楷体" w:cs="华文楷体"/>
                <w:sz w:val="24"/>
              </w:rPr>
            </w:pPr>
          </w:p>
        </w:tc>
      </w:tr>
      <w:tr w14:paraId="3798C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7" w:type="dxa"/>
            <w:vMerge w:val="continue"/>
          </w:tcPr>
          <w:p w14:paraId="1DB6C0EF">
            <w:pPr>
              <w:spacing w:line="360" w:lineRule="exact"/>
              <w:jc w:val="center"/>
              <w:rPr>
                <w:rFonts w:hint="eastAsia" w:ascii="华文楷体" w:hAnsi="华文楷体" w:eastAsia="华文楷体" w:cs="华文楷体"/>
                <w:sz w:val="24"/>
              </w:rPr>
            </w:pPr>
          </w:p>
        </w:tc>
        <w:tc>
          <w:tcPr>
            <w:tcW w:w="1286" w:type="dxa"/>
            <w:gridSpan w:val="2"/>
            <w:vMerge w:val="continue"/>
          </w:tcPr>
          <w:p w14:paraId="32D76AD6">
            <w:pPr>
              <w:spacing w:line="360" w:lineRule="exact"/>
              <w:jc w:val="center"/>
              <w:rPr>
                <w:rFonts w:hint="eastAsia" w:ascii="华文楷体" w:hAnsi="华文楷体" w:eastAsia="华文楷体" w:cs="华文楷体"/>
                <w:sz w:val="24"/>
              </w:rPr>
            </w:pPr>
          </w:p>
        </w:tc>
        <w:tc>
          <w:tcPr>
            <w:tcW w:w="10348" w:type="dxa"/>
          </w:tcPr>
          <w:p w14:paraId="7B633D9D">
            <w:pPr>
              <w:spacing w:line="360" w:lineRule="exact"/>
              <w:rPr>
                <w:rFonts w:hint="eastAsia" w:ascii="华文楷体" w:hAnsi="华文楷体" w:eastAsia="华文楷体" w:cs="华文楷体"/>
              </w:rPr>
            </w:pPr>
            <w:r>
              <w:rPr>
                <w:rFonts w:hint="eastAsia" w:ascii="华文楷体" w:hAnsi="华文楷体" w:eastAsia="华文楷体" w:cs="华文楷体"/>
                <w:spacing w:val="-16"/>
                <w:kern w:val="0"/>
              </w:rPr>
              <w:t>（2）没有危险性实验及仪器操作规程，未张贴安全注意事项，没有张贴适合本实验室及实验工作突发性事故的应急预案。</w:t>
            </w:r>
          </w:p>
        </w:tc>
        <w:tc>
          <w:tcPr>
            <w:tcW w:w="850" w:type="dxa"/>
            <w:vAlign w:val="center"/>
          </w:tcPr>
          <w:p w14:paraId="318BEE89">
            <w:pPr>
              <w:spacing w:line="360" w:lineRule="exact"/>
              <w:jc w:val="center"/>
              <w:rPr>
                <w:rFonts w:hint="eastAsia" w:ascii="华文楷体" w:hAnsi="华文楷体" w:eastAsia="华文楷体" w:cs="华文楷体"/>
                <w:sz w:val="24"/>
              </w:rPr>
            </w:pPr>
            <w:r>
              <w:rPr>
                <w:rFonts w:hint="eastAsia" w:ascii="华文楷体" w:hAnsi="华文楷体" w:eastAsia="华文楷体" w:cs="华文楷体"/>
                <w:sz w:val="24"/>
              </w:rPr>
              <w:t>1分</w:t>
            </w:r>
          </w:p>
        </w:tc>
        <w:tc>
          <w:tcPr>
            <w:tcW w:w="851" w:type="dxa"/>
          </w:tcPr>
          <w:p w14:paraId="7776A317">
            <w:pPr>
              <w:spacing w:line="360" w:lineRule="exact"/>
              <w:jc w:val="center"/>
              <w:rPr>
                <w:rFonts w:hint="eastAsia" w:ascii="华文楷体" w:hAnsi="华文楷体" w:eastAsia="华文楷体" w:cs="华文楷体"/>
                <w:sz w:val="24"/>
              </w:rPr>
            </w:pPr>
          </w:p>
        </w:tc>
      </w:tr>
      <w:tr w14:paraId="5A58F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07" w:type="dxa"/>
            <w:vMerge w:val="continue"/>
          </w:tcPr>
          <w:p w14:paraId="58F670A7">
            <w:pPr>
              <w:spacing w:line="360" w:lineRule="exact"/>
              <w:jc w:val="center"/>
              <w:rPr>
                <w:rFonts w:hint="eastAsia" w:ascii="华文楷体" w:hAnsi="华文楷体" w:eastAsia="华文楷体" w:cs="华文楷体"/>
                <w:sz w:val="24"/>
              </w:rPr>
            </w:pPr>
          </w:p>
        </w:tc>
        <w:tc>
          <w:tcPr>
            <w:tcW w:w="1286" w:type="dxa"/>
            <w:gridSpan w:val="2"/>
            <w:vMerge w:val="continue"/>
          </w:tcPr>
          <w:p w14:paraId="5E692C96">
            <w:pPr>
              <w:spacing w:line="360" w:lineRule="exact"/>
              <w:jc w:val="center"/>
              <w:rPr>
                <w:rFonts w:hint="eastAsia" w:ascii="华文楷体" w:hAnsi="华文楷体" w:eastAsia="华文楷体" w:cs="华文楷体"/>
                <w:sz w:val="24"/>
              </w:rPr>
            </w:pPr>
          </w:p>
        </w:tc>
        <w:tc>
          <w:tcPr>
            <w:tcW w:w="10348" w:type="dxa"/>
          </w:tcPr>
          <w:p w14:paraId="15D1FD5E">
            <w:pPr>
              <w:spacing w:line="360" w:lineRule="exact"/>
              <w:rPr>
                <w:rFonts w:hint="eastAsia" w:ascii="华文楷体" w:hAnsi="华文楷体" w:eastAsia="华文楷体" w:cs="华文楷体"/>
              </w:rPr>
            </w:pPr>
            <w:r>
              <w:rPr>
                <w:rFonts w:hint="eastAsia" w:ascii="华文楷体" w:hAnsi="华文楷体" w:eastAsia="华文楷体" w:cs="华文楷体"/>
                <w:spacing w:val="-16"/>
                <w:kern w:val="0"/>
              </w:rPr>
              <w:t>（3）实验室房间门口未挂有安全信息牌（安全责任人、涉及危险类别、防护措施和有效应急联系电话等）或信息不准确。</w:t>
            </w:r>
          </w:p>
        </w:tc>
        <w:tc>
          <w:tcPr>
            <w:tcW w:w="850" w:type="dxa"/>
            <w:vAlign w:val="center"/>
          </w:tcPr>
          <w:p w14:paraId="0697BF6A">
            <w:pPr>
              <w:spacing w:line="360" w:lineRule="exact"/>
              <w:jc w:val="center"/>
              <w:rPr>
                <w:rFonts w:hint="eastAsia" w:ascii="华文楷体" w:hAnsi="华文楷体" w:eastAsia="华文楷体" w:cs="华文楷体"/>
                <w:sz w:val="24"/>
              </w:rPr>
            </w:pPr>
            <w:r>
              <w:rPr>
                <w:rFonts w:hint="eastAsia" w:ascii="华文楷体" w:hAnsi="华文楷体" w:eastAsia="华文楷体" w:cs="华文楷体"/>
                <w:sz w:val="24"/>
              </w:rPr>
              <w:t>1分</w:t>
            </w:r>
          </w:p>
        </w:tc>
        <w:tc>
          <w:tcPr>
            <w:tcW w:w="851" w:type="dxa"/>
          </w:tcPr>
          <w:p w14:paraId="33DFAD1D">
            <w:pPr>
              <w:spacing w:line="360" w:lineRule="exact"/>
              <w:jc w:val="center"/>
              <w:rPr>
                <w:rFonts w:hint="eastAsia" w:ascii="华文楷体" w:hAnsi="华文楷体" w:eastAsia="华文楷体" w:cs="华文楷体"/>
                <w:sz w:val="24"/>
              </w:rPr>
            </w:pPr>
          </w:p>
        </w:tc>
      </w:tr>
      <w:tr w14:paraId="0B29D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07" w:type="dxa"/>
          </w:tcPr>
          <w:p w14:paraId="169EC5BB">
            <w:pPr>
              <w:spacing w:line="360" w:lineRule="exact"/>
              <w:jc w:val="center"/>
              <w:rPr>
                <w:rFonts w:hint="eastAsia" w:ascii="华文楷体" w:hAnsi="华文楷体" w:eastAsia="华文楷体" w:cs="华文楷体"/>
                <w:sz w:val="24"/>
              </w:rPr>
            </w:pPr>
            <w:r>
              <w:rPr>
                <w:rFonts w:hint="eastAsia" w:ascii="华文楷体" w:hAnsi="华文楷体" w:eastAsia="华文楷体" w:cs="华文楷体"/>
                <w:b/>
                <w:bCs/>
                <w:sz w:val="24"/>
              </w:rPr>
              <w:t>2</w:t>
            </w:r>
          </w:p>
        </w:tc>
        <w:tc>
          <w:tcPr>
            <w:tcW w:w="1286" w:type="dxa"/>
            <w:gridSpan w:val="2"/>
          </w:tcPr>
          <w:p w14:paraId="458FCF72">
            <w:pPr>
              <w:spacing w:line="360" w:lineRule="exact"/>
              <w:jc w:val="center"/>
              <w:rPr>
                <w:rFonts w:hint="eastAsia" w:ascii="华文楷体" w:hAnsi="华文楷体" w:eastAsia="华文楷体" w:cs="华文楷体"/>
                <w:b/>
                <w:bCs/>
                <w:sz w:val="24"/>
              </w:rPr>
            </w:pPr>
            <w:r>
              <w:rPr>
                <w:rFonts w:hint="eastAsia" w:ascii="华文楷体" w:hAnsi="华文楷体" w:eastAsia="华文楷体" w:cs="华文楷体"/>
                <w:b/>
                <w:bCs/>
                <w:sz w:val="24"/>
              </w:rPr>
              <w:t>安全教育</w:t>
            </w:r>
          </w:p>
        </w:tc>
        <w:tc>
          <w:tcPr>
            <w:tcW w:w="10348" w:type="dxa"/>
            <w:vAlign w:val="center"/>
          </w:tcPr>
          <w:p w14:paraId="2645BF2D">
            <w:pPr>
              <w:spacing w:line="360" w:lineRule="exact"/>
              <w:rPr>
                <w:rFonts w:hint="eastAsia" w:ascii="华文楷体" w:hAnsi="华文楷体" w:eastAsia="华文楷体" w:cs="华文楷体"/>
                <w:sz w:val="24"/>
              </w:rPr>
            </w:pPr>
            <w:r>
              <w:rPr>
                <w:rFonts w:hint="eastAsia" w:ascii="华文楷体" w:hAnsi="华文楷体" w:eastAsia="华文楷体" w:cs="华文楷体"/>
                <w:spacing w:val="-16"/>
                <w:kern w:val="0"/>
                <w:sz w:val="24"/>
              </w:rPr>
              <w:t>（1）学生进入实验室开展实验前，未取得通过学院实验室安全培训或学校安全网考试而核发的实验室准入证。</w:t>
            </w:r>
          </w:p>
        </w:tc>
        <w:tc>
          <w:tcPr>
            <w:tcW w:w="850" w:type="dxa"/>
            <w:vAlign w:val="center"/>
          </w:tcPr>
          <w:p w14:paraId="7BBEBCCE">
            <w:pPr>
              <w:spacing w:line="240" w:lineRule="exact"/>
              <w:jc w:val="center"/>
              <w:rPr>
                <w:rFonts w:hint="eastAsia" w:ascii="华文楷体" w:hAnsi="华文楷体" w:eastAsia="华文楷体" w:cs="华文楷体"/>
                <w:b/>
                <w:sz w:val="24"/>
              </w:rPr>
            </w:pPr>
            <w:r>
              <w:rPr>
                <w:rFonts w:ascii="华文楷体" w:hAnsi="华文楷体" w:eastAsia="华文楷体" w:cs="华文楷体"/>
                <w:b/>
                <w:sz w:val="24"/>
              </w:rPr>
              <w:t>12</w:t>
            </w:r>
            <w:r>
              <w:rPr>
                <w:rFonts w:hint="eastAsia" w:ascii="华文楷体" w:hAnsi="华文楷体" w:eastAsia="华文楷体" w:cs="华文楷体"/>
                <w:b/>
                <w:sz w:val="24"/>
              </w:rPr>
              <w:t>分</w:t>
            </w:r>
          </w:p>
        </w:tc>
        <w:tc>
          <w:tcPr>
            <w:tcW w:w="851" w:type="dxa"/>
          </w:tcPr>
          <w:p w14:paraId="280632AE">
            <w:pPr>
              <w:spacing w:line="240" w:lineRule="exact"/>
              <w:jc w:val="center"/>
              <w:rPr>
                <w:rFonts w:hint="eastAsia" w:ascii="华文楷体" w:hAnsi="华文楷体" w:eastAsia="华文楷体" w:cs="华文楷体"/>
                <w:b/>
                <w:sz w:val="24"/>
              </w:rPr>
            </w:pPr>
            <w:r>
              <w:rPr>
                <w:rFonts w:hint="eastAsia" w:ascii="华文楷体" w:hAnsi="华文楷体" w:eastAsia="华文楷体" w:cs="华文楷体"/>
                <w:b/>
                <w:sz w:val="24"/>
              </w:rPr>
              <w:t>封停整治</w:t>
            </w:r>
          </w:p>
        </w:tc>
      </w:tr>
      <w:tr w14:paraId="1DB56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07" w:type="dxa"/>
            <w:vMerge w:val="restart"/>
          </w:tcPr>
          <w:p w14:paraId="2AAC911A">
            <w:pPr>
              <w:spacing w:line="360" w:lineRule="exact"/>
              <w:jc w:val="center"/>
              <w:rPr>
                <w:rFonts w:hint="eastAsia" w:ascii="华文楷体" w:hAnsi="华文楷体" w:eastAsia="华文楷体" w:cs="华文楷体"/>
                <w:b/>
                <w:bCs/>
                <w:sz w:val="24"/>
              </w:rPr>
            </w:pPr>
          </w:p>
          <w:p w14:paraId="33C4B081">
            <w:pPr>
              <w:spacing w:line="360" w:lineRule="exact"/>
              <w:jc w:val="center"/>
              <w:rPr>
                <w:rFonts w:hint="eastAsia" w:ascii="华文楷体" w:hAnsi="华文楷体" w:eastAsia="华文楷体" w:cs="华文楷体"/>
                <w:b/>
                <w:bCs/>
                <w:sz w:val="24"/>
              </w:rPr>
            </w:pPr>
          </w:p>
          <w:p w14:paraId="1C9D6130">
            <w:pPr>
              <w:spacing w:line="360" w:lineRule="exact"/>
              <w:jc w:val="center"/>
              <w:rPr>
                <w:rFonts w:hint="eastAsia" w:ascii="华文楷体" w:hAnsi="华文楷体" w:eastAsia="华文楷体" w:cs="华文楷体"/>
                <w:b/>
                <w:bCs/>
                <w:sz w:val="24"/>
              </w:rPr>
            </w:pPr>
          </w:p>
          <w:p w14:paraId="09870643">
            <w:pPr>
              <w:spacing w:line="360" w:lineRule="exact"/>
              <w:jc w:val="center"/>
              <w:rPr>
                <w:rFonts w:hint="eastAsia" w:ascii="华文楷体" w:hAnsi="华文楷体" w:eastAsia="华文楷体" w:cs="华文楷体"/>
                <w:b/>
                <w:bCs/>
                <w:sz w:val="24"/>
              </w:rPr>
            </w:pPr>
            <w:r>
              <w:rPr>
                <w:rFonts w:hint="eastAsia" w:ascii="华文楷体" w:hAnsi="华文楷体" w:eastAsia="华文楷体" w:cs="华文楷体"/>
                <w:b/>
                <w:bCs/>
                <w:sz w:val="24"/>
              </w:rPr>
              <w:t>3</w:t>
            </w:r>
          </w:p>
        </w:tc>
        <w:tc>
          <w:tcPr>
            <w:tcW w:w="1286" w:type="dxa"/>
            <w:gridSpan w:val="2"/>
            <w:vMerge w:val="restart"/>
          </w:tcPr>
          <w:p w14:paraId="474A4578">
            <w:pPr>
              <w:spacing w:line="360" w:lineRule="exact"/>
              <w:jc w:val="center"/>
              <w:rPr>
                <w:rFonts w:hint="eastAsia" w:ascii="华文楷体" w:hAnsi="华文楷体" w:eastAsia="华文楷体" w:cs="华文楷体"/>
                <w:b/>
                <w:bCs/>
                <w:sz w:val="24"/>
              </w:rPr>
            </w:pPr>
          </w:p>
          <w:p w14:paraId="74BEE0AC">
            <w:pPr>
              <w:spacing w:line="360" w:lineRule="exact"/>
              <w:jc w:val="center"/>
              <w:rPr>
                <w:rFonts w:hint="eastAsia" w:ascii="华文楷体" w:hAnsi="华文楷体" w:eastAsia="华文楷体" w:cs="华文楷体"/>
                <w:b/>
                <w:bCs/>
                <w:sz w:val="24"/>
              </w:rPr>
            </w:pPr>
          </w:p>
          <w:p w14:paraId="572FBF1B">
            <w:pPr>
              <w:spacing w:line="360" w:lineRule="exact"/>
              <w:jc w:val="center"/>
              <w:rPr>
                <w:rFonts w:hint="eastAsia" w:ascii="华文楷体" w:hAnsi="华文楷体" w:eastAsia="华文楷体" w:cs="华文楷体"/>
                <w:b/>
                <w:bCs/>
                <w:sz w:val="24"/>
              </w:rPr>
            </w:pPr>
          </w:p>
          <w:p w14:paraId="377D6EFF">
            <w:pPr>
              <w:spacing w:line="360" w:lineRule="exact"/>
              <w:jc w:val="center"/>
              <w:rPr>
                <w:rFonts w:hint="eastAsia" w:ascii="华文楷体" w:hAnsi="华文楷体" w:eastAsia="华文楷体" w:cs="华文楷体"/>
                <w:b/>
                <w:bCs/>
                <w:sz w:val="24"/>
              </w:rPr>
            </w:pPr>
            <w:r>
              <w:rPr>
                <w:rFonts w:hint="eastAsia" w:ascii="华文楷体" w:hAnsi="华文楷体" w:eastAsia="华文楷体" w:cs="华文楷体"/>
                <w:b/>
                <w:bCs/>
                <w:sz w:val="24"/>
              </w:rPr>
              <w:t>环境秩序</w:t>
            </w:r>
          </w:p>
          <w:p w14:paraId="766C6DAB">
            <w:pPr>
              <w:spacing w:line="360" w:lineRule="exact"/>
              <w:jc w:val="center"/>
              <w:rPr>
                <w:rFonts w:hint="eastAsia" w:ascii="华文楷体" w:hAnsi="华文楷体" w:eastAsia="华文楷体" w:cs="华文楷体"/>
                <w:b/>
                <w:bCs/>
                <w:sz w:val="24"/>
              </w:rPr>
            </w:pPr>
          </w:p>
        </w:tc>
        <w:tc>
          <w:tcPr>
            <w:tcW w:w="10348" w:type="dxa"/>
          </w:tcPr>
          <w:p w14:paraId="6C40C034">
            <w:pPr>
              <w:spacing w:line="360" w:lineRule="exact"/>
              <w:rPr>
                <w:rFonts w:hint="eastAsia" w:ascii="华文楷体" w:hAnsi="华文楷体" w:eastAsia="华文楷体" w:cs="华文楷体"/>
                <w:spacing w:val="-16"/>
                <w:kern w:val="0"/>
                <w:sz w:val="24"/>
              </w:rPr>
            </w:pPr>
            <w:r>
              <w:rPr>
                <w:rFonts w:hint="eastAsia" w:ascii="华文楷体" w:hAnsi="华文楷体" w:eastAsia="华文楷体" w:cs="华文楷体"/>
                <w:spacing w:val="-16"/>
                <w:kern w:val="0"/>
                <w:sz w:val="24"/>
              </w:rPr>
              <w:t>（1）实验室物品不分类放置，台面、柜内药品摆放杂乱，仪器设备、材料、工具等摆放零乱。</w:t>
            </w:r>
          </w:p>
        </w:tc>
        <w:tc>
          <w:tcPr>
            <w:tcW w:w="850" w:type="dxa"/>
            <w:vAlign w:val="center"/>
          </w:tcPr>
          <w:p w14:paraId="2C56521F">
            <w:pPr>
              <w:spacing w:line="360" w:lineRule="exact"/>
              <w:jc w:val="center"/>
              <w:rPr>
                <w:rFonts w:hint="eastAsia" w:ascii="华文楷体" w:hAnsi="华文楷体" w:eastAsia="华文楷体" w:cs="华文楷体"/>
                <w:sz w:val="24"/>
              </w:rPr>
            </w:pPr>
            <w:r>
              <w:rPr>
                <w:rFonts w:hint="eastAsia" w:ascii="华文楷体" w:hAnsi="华文楷体" w:eastAsia="华文楷体" w:cs="华文楷体"/>
                <w:sz w:val="24"/>
              </w:rPr>
              <w:t>3分</w:t>
            </w:r>
          </w:p>
        </w:tc>
        <w:tc>
          <w:tcPr>
            <w:tcW w:w="851" w:type="dxa"/>
          </w:tcPr>
          <w:p w14:paraId="29FFAE37">
            <w:pPr>
              <w:spacing w:line="360" w:lineRule="exact"/>
              <w:jc w:val="center"/>
              <w:rPr>
                <w:rFonts w:hint="eastAsia" w:ascii="华文楷体" w:hAnsi="华文楷体" w:eastAsia="华文楷体" w:cs="华文楷体"/>
                <w:sz w:val="24"/>
              </w:rPr>
            </w:pPr>
          </w:p>
        </w:tc>
      </w:tr>
      <w:tr w14:paraId="202EF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07" w:type="dxa"/>
            <w:vMerge w:val="continue"/>
          </w:tcPr>
          <w:p w14:paraId="26020DCC">
            <w:pPr>
              <w:spacing w:line="360" w:lineRule="exact"/>
              <w:jc w:val="center"/>
              <w:rPr>
                <w:rFonts w:hint="eastAsia" w:ascii="华文楷体" w:hAnsi="华文楷体" w:eastAsia="华文楷体" w:cs="华文楷体"/>
                <w:b/>
                <w:bCs/>
                <w:sz w:val="24"/>
              </w:rPr>
            </w:pPr>
          </w:p>
        </w:tc>
        <w:tc>
          <w:tcPr>
            <w:tcW w:w="1286" w:type="dxa"/>
            <w:gridSpan w:val="2"/>
            <w:vMerge w:val="continue"/>
          </w:tcPr>
          <w:p w14:paraId="647B43D1">
            <w:pPr>
              <w:spacing w:line="360" w:lineRule="exact"/>
              <w:jc w:val="center"/>
              <w:rPr>
                <w:rFonts w:hint="eastAsia" w:ascii="华文楷体" w:hAnsi="华文楷体" w:eastAsia="华文楷体" w:cs="华文楷体"/>
                <w:b/>
                <w:bCs/>
                <w:sz w:val="24"/>
              </w:rPr>
            </w:pPr>
          </w:p>
        </w:tc>
        <w:tc>
          <w:tcPr>
            <w:tcW w:w="10348" w:type="dxa"/>
          </w:tcPr>
          <w:p w14:paraId="745BE4DC">
            <w:pPr>
              <w:spacing w:line="360" w:lineRule="exact"/>
              <w:rPr>
                <w:rFonts w:hint="eastAsia" w:ascii="华文楷体" w:hAnsi="华文楷体" w:eastAsia="华文楷体" w:cs="华文楷体"/>
                <w:spacing w:val="-16"/>
                <w:kern w:val="0"/>
                <w:sz w:val="24"/>
              </w:rPr>
            </w:pPr>
            <w:r>
              <w:rPr>
                <w:rFonts w:hint="eastAsia" w:ascii="华文楷体" w:hAnsi="华文楷体" w:eastAsia="华文楷体" w:cs="华文楷体"/>
                <w:spacing w:val="-16"/>
                <w:kern w:val="0"/>
                <w:sz w:val="24"/>
              </w:rPr>
              <w:t>（2）实验室内废弃的物品（如纸板箱、报废设备、破旧家具桌椅等）未及时处理或清理的现象。</w:t>
            </w:r>
          </w:p>
        </w:tc>
        <w:tc>
          <w:tcPr>
            <w:tcW w:w="850" w:type="dxa"/>
            <w:vAlign w:val="center"/>
          </w:tcPr>
          <w:p w14:paraId="7B7F35B7">
            <w:pPr>
              <w:spacing w:line="360" w:lineRule="exact"/>
              <w:jc w:val="center"/>
              <w:rPr>
                <w:rFonts w:hint="eastAsia" w:ascii="华文楷体" w:hAnsi="华文楷体" w:eastAsia="华文楷体" w:cs="华文楷体"/>
                <w:sz w:val="24"/>
              </w:rPr>
            </w:pPr>
            <w:r>
              <w:rPr>
                <w:rFonts w:hint="eastAsia" w:ascii="华文楷体" w:hAnsi="华文楷体" w:eastAsia="华文楷体" w:cs="华文楷体"/>
                <w:sz w:val="24"/>
              </w:rPr>
              <w:t>2分</w:t>
            </w:r>
          </w:p>
        </w:tc>
        <w:tc>
          <w:tcPr>
            <w:tcW w:w="851" w:type="dxa"/>
          </w:tcPr>
          <w:p w14:paraId="15E22369">
            <w:pPr>
              <w:spacing w:line="360" w:lineRule="exact"/>
              <w:jc w:val="center"/>
              <w:rPr>
                <w:rFonts w:hint="eastAsia" w:ascii="华文楷体" w:hAnsi="华文楷体" w:eastAsia="华文楷体" w:cs="华文楷体"/>
                <w:sz w:val="24"/>
              </w:rPr>
            </w:pPr>
          </w:p>
        </w:tc>
      </w:tr>
      <w:tr w14:paraId="4077B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07" w:type="dxa"/>
            <w:vMerge w:val="continue"/>
          </w:tcPr>
          <w:p w14:paraId="7B27C577">
            <w:pPr>
              <w:spacing w:line="360" w:lineRule="exact"/>
              <w:jc w:val="center"/>
              <w:rPr>
                <w:rFonts w:hint="eastAsia" w:ascii="华文楷体" w:hAnsi="华文楷体" w:eastAsia="华文楷体" w:cs="华文楷体"/>
                <w:sz w:val="24"/>
              </w:rPr>
            </w:pPr>
          </w:p>
        </w:tc>
        <w:tc>
          <w:tcPr>
            <w:tcW w:w="1286" w:type="dxa"/>
            <w:gridSpan w:val="2"/>
            <w:vMerge w:val="continue"/>
          </w:tcPr>
          <w:p w14:paraId="6884946B">
            <w:pPr>
              <w:spacing w:line="360" w:lineRule="exact"/>
              <w:jc w:val="center"/>
              <w:rPr>
                <w:rFonts w:hint="eastAsia" w:ascii="华文楷体" w:hAnsi="华文楷体" w:eastAsia="华文楷体" w:cs="华文楷体"/>
                <w:sz w:val="24"/>
              </w:rPr>
            </w:pPr>
          </w:p>
        </w:tc>
        <w:tc>
          <w:tcPr>
            <w:tcW w:w="10348" w:type="dxa"/>
          </w:tcPr>
          <w:p w14:paraId="1F19C6FF">
            <w:pPr>
              <w:spacing w:before="156" w:beforeLines="50" w:line="360" w:lineRule="exact"/>
              <w:rPr>
                <w:rFonts w:hint="eastAsia" w:ascii="华文楷体" w:hAnsi="华文楷体" w:eastAsia="华文楷体" w:cs="华文楷体"/>
                <w:spacing w:val="-16"/>
                <w:kern w:val="0"/>
                <w:sz w:val="24"/>
              </w:rPr>
            </w:pPr>
            <w:r>
              <w:rPr>
                <w:rFonts w:hint="eastAsia" w:ascii="华文楷体" w:hAnsi="华文楷体" w:eastAsia="华文楷体" w:cs="华文楷体"/>
                <w:spacing w:val="-16"/>
                <w:kern w:val="0"/>
                <w:sz w:val="24"/>
              </w:rPr>
              <w:t>（3）实验室内有抽烟、饮食、烧煮食物、使用可燃性蚊香等现象。</w:t>
            </w:r>
          </w:p>
        </w:tc>
        <w:tc>
          <w:tcPr>
            <w:tcW w:w="850" w:type="dxa"/>
            <w:vAlign w:val="center"/>
          </w:tcPr>
          <w:p w14:paraId="5B4D01A1">
            <w:pPr>
              <w:spacing w:line="360" w:lineRule="exact"/>
              <w:jc w:val="center"/>
              <w:rPr>
                <w:rFonts w:hint="eastAsia" w:ascii="华文楷体" w:hAnsi="华文楷体" w:eastAsia="华文楷体" w:cs="华文楷体"/>
                <w:sz w:val="24"/>
              </w:rPr>
            </w:pPr>
            <w:r>
              <w:rPr>
                <w:rFonts w:hint="eastAsia" w:ascii="华文楷体" w:hAnsi="华文楷体" w:eastAsia="华文楷体" w:cs="华文楷体"/>
                <w:sz w:val="24"/>
              </w:rPr>
              <w:t>3分</w:t>
            </w:r>
          </w:p>
        </w:tc>
        <w:tc>
          <w:tcPr>
            <w:tcW w:w="851" w:type="dxa"/>
          </w:tcPr>
          <w:p w14:paraId="280C782B">
            <w:pPr>
              <w:spacing w:line="240" w:lineRule="exact"/>
              <w:jc w:val="center"/>
              <w:rPr>
                <w:rFonts w:hint="eastAsia" w:ascii="华文楷体" w:hAnsi="华文楷体" w:eastAsia="华文楷体" w:cs="华文楷体"/>
              </w:rPr>
            </w:pPr>
            <w:r>
              <w:rPr>
                <w:rFonts w:hint="eastAsia" w:ascii="华文楷体" w:hAnsi="华文楷体" w:eastAsia="华文楷体" w:cs="华文楷体"/>
                <w:spacing w:val="-16"/>
                <w:kern w:val="0"/>
              </w:rPr>
              <w:t>食品工艺实验除外</w:t>
            </w:r>
          </w:p>
        </w:tc>
      </w:tr>
      <w:tr w14:paraId="45A45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7" w:type="dxa"/>
            <w:vMerge w:val="continue"/>
          </w:tcPr>
          <w:p w14:paraId="69DF1D4F">
            <w:pPr>
              <w:spacing w:line="360" w:lineRule="exact"/>
              <w:jc w:val="center"/>
              <w:rPr>
                <w:rFonts w:hint="eastAsia" w:ascii="华文楷体" w:hAnsi="华文楷体" w:eastAsia="华文楷体" w:cs="华文楷体"/>
                <w:sz w:val="24"/>
              </w:rPr>
            </w:pPr>
          </w:p>
        </w:tc>
        <w:tc>
          <w:tcPr>
            <w:tcW w:w="1286" w:type="dxa"/>
            <w:gridSpan w:val="2"/>
            <w:vMerge w:val="continue"/>
          </w:tcPr>
          <w:p w14:paraId="04390BBC">
            <w:pPr>
              <w:spacing w:line="360" w:lineRule="exact"/>
              <w:jc w:val="center"/>
              <w:rPr>
                <w:rFonts w:hint="eastAsia" w:ascii="华文楷体" w:hAnsi="华文楷体" w:eastAsia="华文楷体" w:cs="华文楷体"/>
                <w:sz w:val="24"/>
              </w:rPr>
            </w:pPr>
          </w:p>
        </w:tc>
        <w:tc>
          <w:tcPr>
            <w:tcW w:w="10348" w:type="dxa"/>
          </w:tcPr>
          <w:p w14:paraId="5272227F">
            <w:pPr>
              <w:spacing w:line="360" w:lineRule="exact"/>
              <w:rPr>
                <w:rFonts w:hint="eastAsia" w:ascii="华文楷体" w:hAnsi="华文楷体" w:eastAsia="华文楷体" w:cs="华文楷体"/>
                <w:spacing w:val="-16"/>
                <w:kern w:val="0"/>
                <w:sz w:val="24"/>
              </w:rPr>
            </w:pPr>
            <w:r>
              <w:rPr>
                <w:rFonts w:hint="eastAsia" w:ascii="华文楷体" w:hAnsi="华文楷体" w:eastAsia="华文楷体" w:cs="华文楷体"/>
                <w:spacing w:val="-16"/>
                <w:kern w:val="0"/>
                <w:sz w:val="24"/>
              </w:rPr>
              <w:t>（4）实验室内堆放或存放与实验无关的私人物品。</w:t>
            </w:r>
          </w:p>
        </w:tc>
        <w:tc>
          <w:tcPr>
            <w:tcW w:w="850" w:type="dxa"/>
            <w:vAlign w:val="center"/>
          </w:tcPr>
          <w:p w14:paraId="1CBFF06F">
            <w:pPr>
              <w:spacing w:line="360" w:lineRule="exact"/>
              <w:jc w:val="center"/>
              <w:rPr>
                <w:rFonts w:hint="eastAsia" w:ascii="华文楷体" w:hAnsi="华文楷体" w:eastAsia="华文楷体" w:cs="华文楷体"/>
                <w:sz w:val="24"/>
              </w:rPr>
            </w:pPr>
            <w:r>
              <w:rPr>
                <w:rFonts w:hint="eastAsia" w:ascii="华文楷体" w:hAnsi="华文楷体" w:eastAsia="华文楷体" w:cs="华文楷体"/>
                <w:sz w:val="24"/>
              </w:rPr>
              <w:t>2分</w:t>
            </w:r>
          </w:p>
        </w:tc>
        <w:tc>
          <w:tcPr>
            <w:tcW w:w="851" w:type="dxa"/>
          </w:tcPr>
          <w:p w14:paraId="09D5FFE6">
            <w:pPr>
              <w:spacing w:line="240" w:lineRule="exact"/>
              <w:jc w:val="center"/>
              <w:rPr>
                <w:rFonts w:hint="eastAsia" w:ascii="华文楷体" w:hAnsi="华文楷体" w:eastAsia="华文楷体" w:cs="华文楷体"/>
                <w:sz w:val="24"/>
              </w:rPr>
            </w:pPr>
          </w:p>
        </w:tc>
      </w:tr>
      <w:tr w14:paraId="5A2E0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07" w:type="dxa"/>
            <w:vMerge w:val="continue"/>
          </w:tcPr>
          <w:p w14:paraId="4D179B3D">
            <w:pPr>
              <w:spacing w:line="360" w:lineRule="exact"/>
              <w:jc w:val="center"/>
              <w:rPr>
                <w:rFonts w:hint="eastAsia" w:ascii="华文楷体" w:hAnsi="华文楷体" w:eastAsia="华文楷体" w:cs="华文楷体"/>
                <w:sz w:val="24"/>
              </w:rPr>
            </w:pPr>
          </w:p>
        </w:tc>
        <w:tc>
          <w:tcPr>
            <w:tcW w:w="1286" w:type="dxa"/>
            <w:gridSpan w:val="2"/>
            <w:vMerge w:val="continue"/>
          </w:tcPr>
          <w:p w14:paraId="34C26F58">
            <w:pPr>
              <w:spacing w:line="360" w:lineRule="exact"/>
              <w:jc w:val="center"/>
              <w:rPr>
                <w:rFonts w:hint="eastAsia" w:ascii="华文楷体" w:hAnsi="华文楷体" w:eastAsia="华文楷体" w:cs="华文楷体"/>
                <w:sz w:val="24"/>
              </w:rPr>
            </w:pPr>
          </w:p>
        </w:tc>
        <w:tc>
          <w:tcPr>
            <w:tcW w:w="10348" w:type="dxa"/>
          </w:tcPr>
          <w:p w14:paraId="7006A7A2">
            <w:pPr>
              <w:spacing w:line="360" w:lineRule="exact"/>
              <w:rPr>
                <w:rFonts w:hint="eastAsia" w:ascii="华文楷体" w:hAnsi="华文楷体" w:eastAsia="华文楷体" w:cs="华文楷体"/>
                <w:spacing w:val="-16"/>
                <w:kern w:val="0"/>
                <w:sz w:val="24"/>
              </w:rPr>
            </w:pPr>
            <w:r>
              <w:rPr>
                <w:rFonts w:hint="eastAsia" w:ascii="华文楷体" w:hAnsi="华文楷体" w:eastAsia="华文楷体" w:cs="华文楷体"/>
                <w:spacing w:val="-16"/>
                <w:kern w:val="0"/>
                <w:sz w:val="24"/>
              </w:rPr>
              <w:t>（5）实验室门窗、地面、桌面卫生差。</w:t>
            </w:r>
          </w:p>
        </w:tc>
        <w:tc>
          <w:tcPr>
            <w:tcW w:w="850" w:type="dxa"/>
            <w:vAlign w:val="center"/>
          </w:tcPr>
          <w:p w14:paraId="3EA8D795">
            <w:pPr>
              <w:spacing w:line="360" w:lineRule="exact"/>
              <w:jc w:val="center"/>
              <w:rPr>
                <w:rFonts w:hint="eastAsia" w:ascii="华文楷体" w:hAnsi="华文楷体" w:eastAsia="华文楷体" w:cs="华文楷体"/>
                <w:sz w:val="24"/>
              </w:rPr>
            </w:pPr>
            <w:r>
              <w:rPr>
                <w:rFonts w:hint="eastAsia" w:ascii="华文楷体" w:hAnsi="华文楷体" w:eastAsia="华文楷体" w:cs="华文楷体"/>
                <w:sz w:val="24"/>
              </w:rPr>
              <w:t>2分</w:t>
            </w:r>
          </w:p>
        </w:tc>
        <w:tc>
          <w:tcPr>
            <w:tcW w:w="851" w:type="dxa"/>
          </w:tcPr>
          <w:p w14:paraId="06121639">
            <w:pPr>
              <w:spacing w:line="360" w:lineRule="exact"/>
              <w:jc w:val="center"/>
              <w:rPr>
                <w:rFonts w:hint="eastAsia" w:ascii="华文楷体" w:hAnsi="华文楷体" w:eastAsia="华文楷体" w:cs="华文楷体"/>
                <w:sz w:val="24"/>
              </w:rPr>
            </w:pPr>
          </w:p>
        </w:tc>
      </w:tr>
      <w:tr w14:paraId="77CD9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07" w:type="dxa"/>
            <w:vMerge w:val="continue"/>
          </w:tcPr>
          <w:p w14:paraId="7CCE2190">
            <w:pPr>
              <w:spacing w:line="360" w:lineRule="exact"/>
              <w:jc w:val="center"/>
              <w:rPr>
                <w:rFonts w:hint="eastAsia" w:ascii="华文楷体" w:hAnsi="华文楷体" w:eastAsia="华文楷体" w:cs="华文楷体"/>
                <w:sz w:val="24"/>
              </w:rPr>
            </w:pPr>
          </w:p>
        </w:tc>
        <w:tc>
          <w:tcPr>
            <w:tcW w:w="1286" w:type="dxa"/>
            <w:gridSpan w:val="2"/>
            <w:vMerge w:val="continue"/>
          </w:tcPr>
          <w:p w14:paraId="47899919">
            <w:pPr>
              <w:spacing w:line="360" w:lineRule="exact"/>
              <w:jc w:val="center"/>
              <w:rPr>
                <w:rFonts w:hint="eastAsia" w:ascii="华文楷体" w:hAnsi="华文楷体" w:eastAsia="华文楷体" w:cs="华文楷体"/>
                <w:sz w:val="24"/>
              </w:rPr>
            </w:pPr>
          </w:p>
        </w:tc>
        <w:tc>
          <w:tcPr>
            <w:tcW w:w="10348" w:type="dxa"/>
          </w:tcPr>
          <w:p w14:paraId="5398CDD2">
            <w:pPr>
              <w:spacing w:line="360" w:lineRule="exact"/>
              <w:rPr>
                <w:rFonts w:hint="eastAsia" w:ascii="华文楷体" w:hAnsi="华文楷体" w:eastAsia="华文楷体" w:cs="华文楷体"/>
                <w:b/>
                <w:spacing w:val="-16"/>
                <w:kern w:val="0"/>
                <w:sz w:val="24"/>
              </w:rPr>
            </w:pPr>
            <w:r>
              <w:rPr>
                <w:rFonts w:hint="eastAsia" w:ascii="华文楷体" w:hAnsi="华文楷体" w:eastAsia="华文楷体" w:cs="华文楷体"/>
                <w:b/>
                <w:spacing w:val="-16"/>
                <w:kern w:val="0"/>
                <w:sz w:val="24"/>
              </w:rPr>
              <w:t>（</w:t>
            </w:r>
            <w:r>
              <w:rPr>
                <w:rFonts w:ascii="华文楷体" w:hAnsi="华文楷体" w:eastAsia="华文楷体" w:cs="华文楷体"/>
                <w:b/>
                <w:spacing w:val="-16"/>
                <w:kern w:val="0"/>
                <w:sz w:val="24"/>
              </w:rPr>
              <w:t>6）未将实验室钥匙</w:t>
            </w:r>
            <w:r>
              <w:rPr>
                <w:rFonts w:hint="eastAsia" w:ascii="华文楷体" w:hAnsi="华文楷体" w:eastAsia="华文楷体" w:cs="华文楷体"/>
                <w:b/>
                <w:spacing w:val="-16"/>
                <w:kern w:val="0"/>
                <w:sz w:val="24"/>
              </w:rPr>
              <w:t>或门禁密钥备份至学院办公室（值班室）。</w:t>
            </w:r>
          </w:p>
        </w:tc>
        <w:tc>
          <w:tcPr>
            <w:tcW w:w="850" w:type="dxa"/>
            <w:vAlign w:val="center"/>
          </w:tcPr>
          <w:p w14:paraId="500F3DF7">
            <w:pPr>
              <w:spacing w:line="240" w:lineRule="exact"/>
              <w:jc w:val="center"/>
              <w:rPr>
                <w:rFonts w:hint="eastAsia" w:ascii="华文楷体" w:hAnsi="华文楷体" w:eastAsia="华文楷体" w:cs="华文楷体"/>
                <w:b/>
                <w:sz w:val="24"/>
              </w:rPr>
            </w:pPr>
            <w:r>
              <w:rPr>
                <w:rFonts w:ascii="华文楷体" w:hAnsi="华文楷体" w:eastAsia="华文楷体" w:cs="华文楷体"/>
                <w:b/>
                <w:sz w:val="24"/>
              </w:rPr>
              <w:t>12</w:t>
            </w:r>
            <w:r>
              <w:rPr>
                <w:rFonts w:hint="eastAsia" w:ascii="华文楷体" w:hAnsi="华文楷体" w:eastAsia="华文楷体" w:cs="华文楷体"/>
                <w:b/>
                <w:sz w:val="24"/>
              </w:rPr>
              <w:t>分</w:t>
            </w:r>
          </w:p>
        </w:tc>
        <w:tc>
          <w:tcPr>
            <w:tcW w:w="851" w:type="dxa"/>
          </w:tcPr>
          <w:p w14:paraId="0A598C14">
            <w:pPr>
              <w:spacing w:line="240" w:lineRule="exact"/>
              <w:jc w:val="center"/>
              <w:rPr>
                <w:rFonts w:hint="eastAsia" w:ascii="华文楷体" w:hAnsi="华文楷体" w:eastAsia="华文楷体" w:cs="华文楷体"/>
                <w:b/>
                <w:sz w:val="24"/>
              </w:rPr>
            </w:pPr>
            <w:r>
              <w:rPr>
                <w:rFonts w:hint="eastAsia" w:ascii="华文楷体" w:hAnsi="华文楷体" w:eastAsia="华文楷体" w:cs="华文楷体"/>
                <w:b/>
                <w:sz w:val="24"/>
              </w:rPr>
              <w:t>封停整治</w:t>
            </w:r>
          </w:p>
        </w:tc>
      </w:tr>
      <w:tr w14:paraId="42F2D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07" w:type="dxa"/>
            <w:vMerge w:val="restart"/>
          </w:tcPr>
          <w:p w14:paraId="05D2B5D2">
            <w:pPr>
              <w:spacing w:line="360" w:lineRule="exact"/>
              <w:jc w:val="center"/>
              <w:rPr>
                <w:rFonts w:hint="eastAsia" w:ascii="华文楷体" w:hAnsi="华文楷体" w:eastAsia="华文楷体" w:cs="华文楷体"/>
                <w:b/>
                <w:bCs/>
                <w:sz w:val="24"/>
              </w:rPr>
            </w:pPr>
          </w:p>
          <w:p w14:paraId="63BEDD15">
            <w:pPr>
              <w:spacing w:line="360" w:lineRule="exact"/>
              <w:jc w:val="center"/>
              <w:rPr>
                <w:rFonts w:hint="eastAsia" w:ascii="华文楷体" w:hAnsi="华文楷体" w:eastAsia="华文楷体" w:cs="华文楷体"/>
                <w:b/>
                <w:bCs/>
                <w:sz w:val="24"/>
              </w:rPr>
            </w:pPr>
          </w:p>
          <w:p w14:paraId="76B4F48C">
            <w:pPr>
              <w:spacing w:line="360" w:lineRule="exact"/>
              <w:jc w:val="center"/>
              <w:rPr>
                <w:rFonts w:hint="eastAsia" w:ascii="华文楷体" w:hAnsi="华文楷体" w:eastAsia="华文楷体" w:cs="华文楷体"/>
                <w:b/>
                <w:bCs/>
                <w:sz w:val="24"/>
              </w:rPr>
            </w:pPr>
            <w:r>
              <w:rPr>
                <w:rFonts w:hint="eastAsia" w:ascii="华文楷体" w:hAnsi="华文楷体" w:eastAsia="华文楷体" w:cs="华文楷体"/>
                <w:b/>
                <w:bCs/>
                <w:sz w:val="24"/>
              </w:rPr>
              <w:t>4</w:t>
            </w:r>
          </w:p>
        </w:tc>
        <w:tc>
          <w:tcPr>
            <w:tcW w:w="1286" w:type="dxa"/>
            <w:gridSpan w:val="2"/>
            <w:vMerge w:val="restart"/>
          </w:tcPr>
          <w:p w14:paraId="69B9A7F1">
            <w:pPr>
              <w:spacing w:line="360" w:lineRule="exact"/>
              <w:jc w:val="center"/>
              <w:rPr>
                <w:rFonts w:hint="eastAsia" w:ascii="华文楷体" w:hAnsi="华文楷体" w:eastAsia="华文楷体" w:cs="华文楷体"/>
                <w:b/>
                <w:bCs/>
                <w:sz w:val="24"/>
              </w:rPr>
            </w:pPr>
          </w:p>
          <w:p w14:paraId="4ADB9A85">
            <w:pPr>
              <w:spacing w:line="360" w:lineRule="exact"/>
              <w:jc w:val="center"/>
              <w:rPr>
                <w:rFonts w:hint="eastAsia" w:ascii="华文楷体" w:hAnsi="华文楷体" w:eastAsia="华文楷体" w:cs="华文楷体"/>
                <w:b/>
                <w:bCs/>
                <w:sz w:val="24"/>
              </w:rPr>
            </w:pPr>
          </w:p>
          <w:p w14:paraId="236801B0">
            <w:pPr>
              <w:spacing w:line="360" w:lineRule="exact"/>
              <w:jc w:val="center"/>
              <w:rPr>
                <w:rFonts w:hint="eastAsia" w:ascii="华文楷体" w:hAnsi="华文楷体" w:eastAsia="华文楷体" w:cs="华文楷体"/>
                <w:b/>
                <w:bCs/>
                <w:sz w:val="24"/>
              </w:rPr>
            </w:pPr>
            <w:r>
              <w:rPr>
                <w:rFonts w:hint="eastAsia" w:ascii="华文楷体" w:hAnsi="华文楷体" w:eastAsia="华文楷体" w:cs="华文楷体"/>
                <w:b/>
                <w:bCs/>
                <w:sz w:val="24"/>
              </w:rPr>
              <w:t>消防安全</w:t>
            </w:r>
          </w:p>
          <w:p w14:paraId="4B2FC4C5">
            <w:pPr>
              <w:spacing w:line="360" w:lineRule="exact"/>
              <w:jc w:val="center"/>
              <w:rPr>
                <w:rFonts w:hint="eastAsia" w:ascii="华文楷体" w:hAnsi="华文楷体" w:eastAsia="华文楷体" w:cs="华文楷体"/>
                <w:b/>
                <w:bCs/>
                <w:sz w:val="24"/>
              </w:rPr>
            </w:pPr>
          </w:p>
        </w:tc>
        <w:tc>
          <w:tcPr>
            <w:tcW w:w="10348" w:type="dxa"/>
          </w:tcPr>
          <w:p w14:paraId="256904A0">
            <w:pPr>
              <w:spacing w:line="300" w:lineRule="exact"/>
              <w:rPr>
                <w:rFonts w:hint="eastAsia" w:ascii="华文楷体" w:hAnsi="华文楷体" w:eastAsia="华文楷体" w:cs="华文楷体"/>
                <w:spacing w:val="-16"/>
                <w:kern w:val="0"/>
                <w:sz w:val="24"/>
              </w:rPr>
            </w:pPr>
            <w:r>
              <w:rPr>
                <w:rFonts w:hint="eastAsia" w:ascii="华文楷体" w:hAnsi="华文楷体" w:eastAsia="华文楷体" w:cs="华文楷体"/>
                <w:spacing w:val="-16"/>
                <w:kern w:val="0"/>
                <w:sz w:val="24"/>
              </w:rPr>
              <w:t>（1）实验室内消防器材（包括灭火器、灭火毯、急救药箱、消防锤、消防自救呼吸器等）未按要求数量配置或类型配置不正确、位置设置不合适。</w:t>
            </w:r>
          </w:p>
        </w:tc>
        <w:tc>
          <w:tcPr>
            <w:tcW w:w="850" w:type="dxa"/>
            <w:vAlign w:val="center"/>
          </w:tcPr>
          <w:p w14:paraId="5BAE7BB6">
            <w:pPr>
              <w:spacing w:line="360" w:lineRule="exact"/>
              <w:jc w:val="center"/>
              <w:rPr>
                <w:rFonts w:hint="eastAsia" w:ascii="华文楷体" w:hAnsi="华文楷体" w:eastAsia="华文楷体" w:cs="华文楷体"/>
                <w:sz w:val="24"/>
              </w:rPr>
            </w:pPr>
            <w:r>
              <w:rPr>
                <w:rFonts w:hint="eastAsia" w:ascii="华文楷体" w:hAnsi="华文楷体" w:eastAsia="华文楷体" w:cs="华文楷体"/>
                <w:sz w:val="24"/>
              </w:rPr>
              <w:t>6分</w:t>
            </w:r>
          </w:p>
        </w:tc>
        <w:tc>
          <w:tcPr>
            <w:tcW w:w="851" w:type="dxa"/>
          </w:tcPr>
          <w:p w14:paraId="78D95BA2">
            <w:pPr>
              <w:spacing w:line="360" w:lineRule="exact"/>
              <w:jc w:val="center"/>
              <w:rPr>
                <w:rFonts w:hint="eastAsia" w:ascii="华文楷体" w:hAnsi="华文楷体" w:eastAsia="华文楷体" w:cs="华文楷体"/>
                <w:sz w:val="24"/>
              </w:rPr>
            </w:pPr>
          </w:p>
        </w:tc>
      </w:tr>
      <w:tr w14:paraId="3C76D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7" w:type="dxa"/>
            <w:vMerge w:val="continue"/>
          </w:tcPr>
          <w:p w14:paraId="5F592560">
            <w:pPr>
              <w:spacing w:line="360" w:lineRule="exact"/>
              <w:jc w:val="center"/>
              <w:rPr>
                <w:rFonts w:hint="eastAsia" w:ascii="华文楷体" w:hAnsi="华文楷体" w:eastAsia="华文楷体" w:cs="华文楷体"/>
                <w:sz w:val="24"/>
              </w:rPr>
            </w:pPr>
          </w:p>
        </w:tc>
        <w:tc>
          <w:tcPr>
            <w:tcW w:w="1286" w:type="dxa"/>
            <w:gridSpan w:val="2"/>
            <w:vMerge w:val="continue"/>
          </w:tcPr>
          <w:p w14:paraId="08569AA3">
            <w:pPr>
              <w:spacing w:line="360" w:lineRule="exact"/>
              <w:jc w:val="center"/>
              <w:rPr>
                <w:rFonts w:hint="eastAsia" w:ascii="华文楷体" w:hAnsi="华文楷体" w:eastAsia="华文楷体" w:cs="华文楷体"/>
                <w:sz w:val="24"/>
              </w:rPr>
            </w:pPr>
          </w:p>
        </w:tc>
        <w:tc>
          <w:tcPr>
            <w:tcW w:w="10348" w:type="dxa"/>
          </w:tcPr>
          <w:p w14:paraId="43D929CA">
            <w:pPr>
              <w:spacing w:line="300" w:lineRule="exact"/>
              <w:rPr>
                <w:rFonts w:hint="eastAsia" w:ascii="华文楷体" w:hAnsi="华文楷体" w:eastAsia="华文楷体" w:cs="华文楷体"/>
                <w:spacing w:val="-16"/>
                <w:kern w:val="0"/>
                <w:sz w:val="24"/>
              </w:rPr>
            </w:pPr>
            <w:r>
              <w:rPr>
                <w:rFonts w:hint="eastAsia" w:ascii="华文楷体" w:hAnsi="华文楷体" w:eastAsia="华文楷体" w:cs="华文楷体"/>
                <w:spacing w:val="-16"/>
                <w:kern w:val="0"/>
                <w:sz w:val="24"/>
              </w:rPr>
              <w:t>（2）灭火器存在过期、压力不足、外观损坏锈蚀、被遮挡等现象，未及时检查记录并更换。</w:t>
            </w:r>
          </w:p>
        </w:tc>
        <w:tc>
          <w:tcPr>
            <w:tcW w:w="850" w:type="dxa"/>
            <w:vAlign w:val="center"/>
          </w:tcPr>
          <w:p w14:paraId="60069431">
            <w:pPr>
              <w:spacing w:line="360" w:lineRule="exact"/>
              <w:jc w:val="center"/>
              <w:rPr>
                <w:rFonts w:hint="eastAsia" w:ascii="华文楷体" w:hAnsi="华文楷体" w:eastAsia="华文楷体" w:cs="华文楷体"/>
                <w:sz w:val="24"/>
              </w:rPr>
            </w:pPr>
            <w:r>
              <w:rPr>
                <w:rFonts w:hint="eastAsia" w:ascii="华文楷体" w:hAnsi="华文楷体" w:eastAsia="华文楷体" w:cs="华文楷体"/>
                <w:sz w:val="24"/>
              </w:rPr>
              <w:t>3分</w:t>
            </w:r>
          </w:p>
        </w:tc>
        <w:tc>
          <w:tcPr>
            <w:tcW w:w="851" w:type="dxa"/>
          </w:tcPr>
          <w:p w14:paraId="7AA77D74">
            <w:pPr>
              <w:spacing w:line="360" w:lineRule="exact"/>
              <w:jc w:val="center"/>
              <w:rPr>
                <w:rFonts w:hint="eastAsia" w:ascii="华文楷体" w:hAnsi="华文楷体" w:eastAsia="华文楷体" w:cs="华文楷体"/>
                <w:sz w:val="24"/>
              </w:rPr>
            </w:pPr>
          </w:p>
        </w:tc>
      </w:tr>
      <w:tr w14:paraId="4E097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807" w:type="dxa"/>
            <w:vMerge w:val="continue"/>
          </w:tcPr>
          <w:p w14:paraId="388BD8D5">
            <w:pPr>
              <w:spacing w:line="360" w:lineRule="exact"/>
              <w:jc w:val="center"/>
              <w:rPr>
                <w:rFonts w:hint="eastAsia" w:ascii="华文楷体" w:hAnsi="华文楷体" w:eastAsia="华文楷体" w:cs="华文楷体"/>
                <w:sz w:val="24"/>
              </w:rPr>
            </w:pPr>
          </w:p>
        </w:tc>
        <w:tc>
          <w:tcPr>
            <w:tcW w:w="1286" w:type="dxa"/>
            <w:gridSpan w:val="2"/>
            <w:vMerge w:val="continue"/>
          </w:tcPr>
          <w:p w14:paraId="39FA730D">
            <w:pPr>
              <w:spacing w:line="360" w:lineRule="exact"/>
              <w:jc w:val="center"/>
              <w:rPr>
                <w:rFonts w:hint="eastAsia" w:ascii="华文楷体" w:hAnsi="华文楷体" w:eastAsia="华文楷体" w:cs="华文楷体"/>
                <w:sz w:val="24"/>
              </w:rPr>
            </w:pPr>
          </w:p>
        </w:tc>
        <w:tc>
          <w:tcPr>
            <w:tcW w:w="10348" w:type="dxa"/>
          </w:tcPr>
          <w:p w14:paraId="506110AC">
            <w:pPr>
              <w:spacing w:line="300" w:lineRule="exact"/>
              <w:rPr>
                <w:rFonts w:hint="eastAsia" w:ascii="华文楷体" w:hAnsi="华文楷体" w:eastAsia="华文楷体" w:cs="华文楷体"/>
                <w:spacing w:val="-16"/>
                <w:kern w:val="0"/>
                <w:sz w:val="24"/>
              </w:rPr>
            </w:pPr>
            <w:r>
              <w:rPr>
                <w:rFonts w:hint="eastAsia" w:ascii="华文楷体" w:hAnsi="华文楷体" w:eastAsia="华文楷体" w:cs="华文楷体"/>
                <w:spacing w:val="-16"/>
                <w:kern w:val="0"/>
                <w:sz w:val="24"/>
              </w:rPr>
              <w:t>（3）消防疏散通道、安全出口堆放仪器、杂物、停放电动车、自行车、手推车等影响畅通，门窗上设置影响逃生和灭火救援的障碍物。</w:t>
            </w:r>
          </w:p>
        </w:tc>
        <w:tc>
          <w:tcPr>
            <w:tcW w:w="850" w:type="dxa"/>
            <w:vAlign w:val="center"/>
          </w:tcPr>
          <w:p w14:paraId="1EF4AB71">
            <w:pPr>
              <w:spacing w:line="360" w:lineRule="exact"/>
              <w:jc w:val="center"/>
              <w:rPr>
                <w:rFonts w:hint="eastAsia" w:ascii="华文楷体" w:hAnsi="华文楷体" w:eastAsia="华文楷体" w:cs="华文楷体"/>
                <w:sz w:val="24"/>
              </w:rPr>
            </w:pPr>
            <w:r>
              <w:rPr>
                <w:rFonts w:hint="eastAsia" w:ascii="华文楷体" w:hAnsi="华文楷体" w:eastAsia="华文楷体" w:cs="华文楷体"/>
                <w:sz w:val="24"/>
              </w:rPr>
              <w:t>6分</w:t>
            </w:r>
          </w:p>
        </w:tc>
        <w:tc>
          <w:tcPr>
            <w:tcW w:w="851" w:type="dxa"/>
          </w:tcPr>
          <w:p w14:paraId="6B69C342">
            <w:pPr>
              <w:spacing w:line="360" w:lineRule="exact"/>
              <w:jc w:val="center"/>
              <w:rPr>
                <w:rFonts w:hint="eastAsia" w:ascii="华文楷体" w:hAnsi="华文楷体" w:eastAsia="华文楷体" w:cs="华文楷体"/>
                <w:sz w:val="24"/>
              </w:rPr>
            </w:pPr>
          </w:p>
        </w:tc>
      </w:tr>
      <w:tr w14:paraId="24FBA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7" w:type="dxa"/>
            <w:vMerge w:val="continue"/>
          </w:tcPr>
          <w:p w14:paraId="2FB13D07">
            <w:pPr>
              <w:spacing w:line="360" w:lineRule="exact"/>
              <w:jc w:val="center"/>
              <w:rPr>
                <w:rFonts w:hint="eastAsia" w:ascii="华文楷体" w:hAnsi="华文楷体" w:eastAsia="华文楷体" w:cs="华文楷体"/>
                <w:sz w:val="24"/>
              </w:rPr>
            </w:pPr>
          </w:p>
        </w:tc>
        <w:tc>
          <w:tcPr>
            <w:tcW w:w="1286" w:type="dxa"/>
            <w:gridSpan w:val="2"/>
            <w:vMerge w:val="continue"/>
          </w:tcPr>
          <w:p w14:paraId="3B9F7532">
            <w:pPr>
              <w:spacing w:line="360" w:lineRule="exact"/>
              <w:jc w:val="center"/>
              <w:rPr>
                <w:rFonts w:hint="eastAsia" w:ascii="华文楷体" w:hAnsi="华文楷体" w:eastAsia="华文楷体" w:cs="华文楷体"/>
                <w:sz w:val="24"/>
              </w:rPr>
            </w:pPr>
          </w:p>
        </w:tc>
        <w:tc>
          <w:tcPr>
            <w:tcW w:w="10348" w:type="dxa"/>
          </w:tcPr>
          <w:p w14:paraId="1A550A39">
            <w:pPr>
              <w:spacing w:line="300" w:lineRule="exact"/>
              <w:rPr>
                <w:rFonts w:hint="eastAsia" w:ascii="华文楷体" w:hAnsi="华文楷体" w:eastAsia="华文楷体" w:cs="华文楷体"/>
                <w:b/>
                <w:spacing w:val="-16"/>
                <w:kern w:val="0"/>
                <w:sz w:val="24"/>
              </w:rPr>
            </w:pPr>
            <w:r>
              <w:rPr>
                <w:rFonts w:hint="eastAsia" w:ascii="华文楷体" w:hAnsi="华文楷体" w:eastAsia="华文楷体" w:cs="华文楷体"/>
                <w:spacing w:val="-16"/>
                <w:kern w:val="0"/>
                <w:sz w:val="24"/>
              </w:rPr>
              <w:t>（4）实验室内未经允许（报备）使用明火电炉以及使用大功率取暖电器现象。</w:t>
            </w:r>
          </w:p>
        </w:tc>
        <w:tc>
          <w:tcPr>
            <w:tcW w:w="850" w:type="dxa"/>
            <w:vAlign w:val="center"/>
          </w:tcPr>
          <w:p w14:paraId="60ECB439">
            <w:pPr>
              <w:spacing w:line="240" w:lineRule="exact"/>
              <w:jc w:val="center"/>
              <w:rPr>
                <w:rFonts w:hint="eastAsia" w:ascii="华文楷体" w:hAnsi="华文楷体" w:eastAsia="华文楷体" w:cs="华文楷体"/>
                <w:b/>
                <w:sz w:val="24"/>
              </w:rPr>
            </w:pPr>
            <w:r>
              <w:rPr>
                <w:rFonts w:ascii="华文楷体" w:hAnsi="华文楷体" w:eastAsia="华文楷体" w:cs="华文楷体"/>
                <w:b/>
                <w:sz w:val="24"/>
              </w:rPr>
              <w:t>12分</w:t>
            </w:r>
          </w:p>
        </w:tc>
        <w:tc>
          <w:tcPr>
            <w:tcW w:w="851" w:type="dxa"/>
          </w:tcPr>
          <w:p w14:paraId="7403C9B6">
            <w:pPr>
              <w:spacing w:line="240" w:lineRule="exact"/>
              <w:jc w:val="left"/>
              <w:rPr>
                <w:rFonts w:hint="eastAsia" w:ascii="华文楷体" w:hAnsi="华文楷体" w:eastAsia="华文楷体" w:cs="华文楷体"/>
                <w:b/>
                <w:sz w:val="24"/>
              </w:rPr>
            </w:pPr>
            <w:r>
              <w:rPr>
                <w:rFonts w:hint="eastAsia" w:ascii="华文楷体" w:hAnsi="华文楷体" w:eastAsia="华文楷体" w:cs="华文楷体"/>
                <w:b/>
                <w:sz w:val="24"/>
              </w:rPr>
              <w:t>封停整治</w:t>
            </w:r>
          </w:p>
        </w:tc>
      </w:tr>
      <w:tr w14:paraId="0BCDD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17" w:type="dxa"/>
            <w:gridSpan w:val="2"/>
            <w:vMerge w:val="restart"/>
          </w:tcPr>
          <w:p w14:paraId="28DA550B">
            <w:pPr>
              <w:spacing w:line="360" w:lineRule="exact"/>
              <w:jc w:val="center"/>
              <w:rPr>
                <w:rFonts w:hint="eastAsia" w:ascii="华文楷体" w:hAnsi="华文楷体" w:eastAsia="华文楷体" w:cs="华文楷体"/>
                <w:b/>
                <w:bCs/>
                <w:sz w:val="24"/>
              </w:rPr>
            </w:pPr>
          </w:p>
          <w:p w14:paraId="23932BCF">
            <w:pPr>
              <w:spacing w:line="360" w:lineRule="exact"/>
              <w:jc w:val="center"/>
              <w:rPr>
                <w:rFonts w:hint="eastAsia" w:ascii="华文楷体" w:hAnsi="华文楷体" w:eastAsia="华文楷体" w:cs="华文楷体"/>
                <w:b/>
                <w:bCs/>
                <w:sz w:val="24"/>
              </w:rPr>
            </w:pPr>
          </w:p>
          <w:p w14:paraId="708279FA">
            <w:pPr>
              <w:spacing w:line="360" w:lineRule="exact"/>
              <w:jc w:val="center"/>
              <w:rPr>
                <w:rFonts w:hint="eastAsia" w:ascii="华文楷体" w:hAnsi="华文楷体" w:eastAsia="华文楷体" w:cs="华文楷体"/>
                <w:b/>
                <w:bCs/>
                <w:sz w:val="24"/>
              </w:rPr>
            </w:pPr>
          </w:p>
          <w:p w14:paraId="3767732E">
            <w:pPr>
              <w:spacing w:line="360" w:lineRule="exact"/>
              <w:jc w:val="center"/>
              <w:rPr>
                <w:rFonts w:hint="eastAsia" w:ascii="华文楷体" w:hAnsi="华文楷体" w:eastAsia="华文楷体" w:cs="华文楷体"/>
                <w:b/>
                <w:bCs/>
                <w:sz w:val="24"/>
              </w:rPr>
            </w:pPr>
            <w:r>
              <w:rPr>
                <w:rFonts w:hint="eastAsia" w:ascii="华文楷体" w:hAnsi="华文楷体" w:eastAsia="华文楷体" w:cs="华文楷体"/>
                <w:b/>
                <w:bCs/>
                <w:sz w:val="24"/>
              </w:rPr>
              <w:t>5</w:t>
            </w:r>
          </w:p>
        </w:tc>
        <w:tc>
          <w:tcPr>
            <w:tcW w:w="1276" w:type="dxa"/>
            <w:vMerge w:val="restart"/>
          </w:tcPr>
          <w:p w14:paraId="209356A6">
            <w:pPr>
              <w:spacing w:line="360" w:lineRule="exact"/>
              <w:jc w:val="center"/>
              <w:rPr>
                <w:rFonts w:hint="eastAsia" w:ascii="华文楷体" w:hAnsi="华文楷体" w:eastAsia="华文楷体" w:cs="华文楷体"/>
                <w:b/>
                <w:bCs/>
                <w:sz w:val="24"/>
              </w:rPr>
            </w:pPr>
          </w:p>
          <w:p w14:paraId="4BE7B4C3">
            <w:pPr>
              <w:spacing w:line="360" w:lineRule="exact"/>
              <w:jc w:val="center"/>
              <w:rPr>
                <w:rFonts w:hint="eastAsia" w:ascii="华文楷体" w:hAnsi="华文楷体" w:eastAsia="华文楷体" w:cs="华文楷体"/>
                <w:b/>
                <w:bCs/>
                <w:sz w:val="24"/>
              </w:rPr>
            </w:pPr>
          </w:p>
          <w:p w14:paraId="3C4BD80B">
            <w:pPr>
              <w:spacing w:line="360" w:lineRule="exact"/>
              <w:jc w:val="center"/>
              <w:rPr>
                <w:rFonts w:hint="eastAsia" w:ascii="华文楷体" w:hAnsi="华文楷体" w:eastAsia="华文楷体" w:cs="华文楷体"/>
                <w:b/>
                <w:bCs/>
                <w:sz w:val="24"/>
              </w:rPr>
            </w:pPr>
          </w:p>
          <w:p w14:paraId="19E4CD52">
            <w:pPr>
              <w:spacing w:line="360" w:lineRule="exact"/>
              <w:jc w:val="center"/>
              <w:rPr>
                <w:rFonts w:hint="eastAsia" w:ascii="华文楷体" w:hAnsi="华文楷体" w:eastAsia="华文楷体" w:cs="华文楷体"/>
                <w:b/>
                <w:bCs/>
                <w:sz w:val="24"/>
              </w:rPr>
            </w:pPr>
            <w:r>
              <w:rPr>
                <w:rFonts w:hint="eastAsia" w:ascii="华文楷体" w:hAnsi="华文楷体" w:eastAsia="华文楷体" w:cs="华文楷体"/>
                <w:b/>
                <w:bCs/>
                <w:sz w:val="24"/>
              </w:rPr>
              <w:t>水电安全</w:t>
            </w:r>
          </w:p>
          <w:p w14:paraId="138C6879">
            <w:pPr>
              <w:spacing w:line="360" w:lineRule="exact"/>
              <w:jc w:val="center"/>
              <w:rPr>
                <w:rFonts w:hint="eastAsia" w:ascii="华文楷体" w:hAnsi="华文楷体" w:eastAsia="华文楷体" w:cs="华文楷体"/>
                <w:b/>
                <w:bCs/>
                <w:sz w:val="24"/>
              </w:rPr>
            </w:pPr>
          </w:p>
          <w:p w14:paraId="34ED76F0">
            <w:pPr>
              <w:spacing w:line="360" w:lineRule="exact"/>
              <w:rPr>
                <w:rFonts w:hint="eastAsia" w:ascii="华文楷体" w:hAnsi="华文楷体" w:eastAsia="华文楷体" w:cs="华文楷体"/>
                <w:b/>
                <w:bCs/>
                <w:sz w:val="24"/>
              </w:rPr>
            </w:pPr>
          </w:p>
        </w:tc>
        <w:tc>
          <w:tcPr>
            <w:tcW w:w="10348" w:type="dxa"/>
          </w:tcPr>
          <w:p w14:paraId="7ADEE808">
            <w:pPr>
              <w:spacing w:line="360" w:lineRule="exact"/>
              <w:jc w:val="left"/>
              <w:rPr>
                <w:rFonts w:hint="eastAsia" w:ascii="华文楷体" w:hAnsi="华文楷体" w:eastAsia="华文楷体" w:cs="华文楷体"/>
                <w:sz w:val="24"/>
              </w:rPr>
            </w:pPr>
            <w:r>
              <w:rPr>
                <w:rFonts w:hint="eastAsia" w:ascii="华文楷体" w:hAnsi="华文楷体" w:eastAsia="华文楷体" w:cs="华文楷体"/>
                <w:sz w:val="24"/>
              </w:rPr>
              <w:t>（1）存在水槽损坏、下水道堵塞现象；使用水龙头、水管、皮管（特别是冷凝冷却系统的橡胶管接口处）存在破损、老化现象；存在自来水开着无人在岗现象。</w:t>
            </w:r>
          </w:p>
        </w:tc>
        <w:tc>
          <w:tcPr>
            <w:tcW w:w="850" w:type="dxa"/>
            <w:vAlign w:val="center"/>
          </w:tcPr>
          <w:p w14:paraId="47FC83A7">
            <w:pPr>
              <w:spacing w:line="360" w:lineRule="exact"/>
              <w:jc w:val="center"/>
              <w:rPr>
                <w:rFonts w:hint="eastAsia" w:ascii="华文楷体" w:hAnsi="华文楷体" w:eastAsia="华文楷体" w:cs="华文楷体"/>
                <w:sz w:val="24"/>
              </w:rPr>
            </w:pPr>
            <w:r>
              <w:rPr>
                <w:rFonts w:hint="eastAsia" w:ascii="华文楷体" w:hAnsi="华文楷体" w:eastAsia="华文楷体" w:cs="华文楷体"/>
                <w:sz w:val="24"/>
              </w:rPr>
              <w:t>3分</w:t>
            </w:r>
          </w:p>
        </w:tc>
        <w:tc>
          <w:tcPr>
            <w:tcW w:w="851" w:type="dxa"/>
          </w:tcPr>
          <w:p w14:paraId="239BB9A2">
            <w:pPr>
              <w:spacing w:line="360" w:lineRule="exact"/>
              <w:jc w:val="center"/>
              <w:rPr>
                <w:rFonts w:hint="eastAsia" w:ascii="华文楷体" w:hAnsi="华文楷体" w:eastAsia="华文楷体" w:cs="华文楷体"/>
                <w:sz w:val="24"/>
              </w:rPr>
            </w:pPr>
          </w:p>
        </w:tc>
      </w:tr>
      <w:tr w14:paraId="7CAF7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gridSpan w:val="2"/>
            <w:vMerge w:val="continue"/>
          </w:tcPr>
          <w:p w14:paraId="2A700138">
            <w:pPr>
              <w:spacing w:line="360" w:lineRule="exact"/>
              <w:jc w:val="center"/>
              <w:rPr>
                <w:rFonts w:hint="eastAsia" w:ascii="华文楷体" w:hAnsi="华文楷体" w:eastAsia="华文楷体" w:cs="华文楷体"/>
                <w:sz w:val="24"/>
              </w:rPr>
            </w:pPr>
          </w:p>
        </w:tc>
        <w:tc>
          <w:tcPr>
            <w:tcW w:w="1276" w:type="dxa"/>
            <w:vMerge w:val="continue"/>
          </w:tcPr>
          <w:p w14:paraId="4A07509F">
            <w:pPr>
              <w:spacing w:line="360" w:lineRule="exact"/>
              <w:jc w:val="center"/>
              <w:rPr>
                <w:rFonts w:hint="eastAsia" w:ascii="华文楷体" w:hAnsi="华文楷体" w:eastAsia="华文楷体" w:cs="华文楷体"/>
                <w:sz w:val="24"/>
              </w:rPr>
            </w:pPr>
          </w:p>
        </w:tc>
        <w:tc>
          <w:tcPr>
            <w:tcW w:w="10348" w:type="dxa"/>
          </w:tcPr>
          <w:p w14:paraId="28C7E30C">
            <w:pPr>
              <w:spacing w:line="360" w:lineRule="exact"/>
              <w:rPr>
                <w:rFonts w:hint="eastAsia" w:ascii="华文楷体" w:hAnsi="华文楷体" w:eastAsia="华文楷体" w:cs="华文楷体"/>
                <w:sz w:val="24"/>
              </w:rPr>
            </w:pPr>
            <w:r>
              <w:rPr>
                <w:rFonts w:hint="eastAsia" w:ascii="华文楷体" w:hAnsi="华文楷体" w:eastAsia="华文楷体" w:cs="华文楷体"/>
                <w:sz w:val="24"/>
              </w:rPr>
              <w:t>（2）电线老化、插头破损、</w:t>
            </w:r>
            <w:r>
              <w:rPr>
                <w:rFonts w:hint="eastAsia" w:ascii="华文楷体" w:hAnsi="华文楷体" w:eastAsia="华文楷体" w:cs="华文楷体"/>
                <w:spacing w:val="-16"/>
                <w:kern w:val="0"/>
                <w:sz w:val="24"/>
              </w:rPr>
              <w:t>插头插座不匹配或多个接线板串联及接线板未固定直接放在地面的现象。</w:t>
            </w:r>
          </w:p>
        </w:tc>
        <w:tc>
          <w:tcPr>
            <w:tcW w:w="850" w:type="dxa"/>
            <w:vAlign w:val="center"/>
          </w:tcPr>
          <w:p w14:paraId="516FBE75">
            <w:pPr>
              <w:spacing w:line="360" w:lineRule="exact"/>
              <w:jc w:val="center"/>
              <w:rPr>
                <w:rFonts w:hint="eastAsia" w:ascii="华文楷体" w:hAnsi="华文楷体" w:eastAsia="华文楷体" w:cs="华文楷体"/>
                <w:b/>
                <w:sz w:val="24"/>
              </w:rPr>
            </w:pPr>
            <w:r>
              <w:rPr>
                <w:rFonts w:ascii="华文楷体" w:hAnsi="华文楷体" w:eastAsia="华文楷体" w:cs="华文楷体"/>
                <w:b/>
                <w:sz w:val="24"/>
              </w:rPr>
              <w:t>8分</w:t>
            </w:r>
          </w:p>
        </w:tc>
        <w:tc>
          <w:tcPr>
            <w:tcW w:w="851" w:type="dxa"/>
          </w:tcPr>
          <w:p w14:paraId="41BE5CF2">
            <w:pPr>
              <w:spacing w:line="360" w:lineRule="exact"/>
              <w:jc w:val="center"/>
              <w:rPr>
                <w:rFonts w:hint="eastAsia" w:ascii="华文楷体" w:hAnsi="华文楷体" w:eastAsia="华文楷体" w:cs="华文楷体"/>
                <w:sz w:val="24"/>
              </w:rPr>
            </w:pPr>
          </w:p>
        </w:tc>
      </w:tr>
      <w:tr w14:paraId="6078C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gridSpan w:val="2"/>
            <w:vMerge w:val="continue"/>
          </w:tcPr>
          <w:p w14:paraId="1AD0C358">
            <w:pPr>
              <w:spacing w:line="360" w:lineRule="exact"/>
              <w:jc w:val="center"/>
              <w:rPr>
                <w:rFonts w:hint="eastAsia" w:ascii="华文楷体" w:hAnsi="华文楷体" w:eastAsia="华文楷体" w:cs="华文楷体"/>
                <w:sz w:val="24"/>
              </w:rPr>
            </w:pPr>
          </w:p>
        </w:tc>
        <w:tc>
          <w:tcPr>
            <w:tcW w:w="1276" w:type="dxa"/>
            <w:vMerge w:val="continue"/>
          </w:tcPr>
          <w:p w14:paraId="7ECC994B">
            <w:pPr>
              <w:spacing w:line="360" w:lineRule="exact"/>
              <w:jc w:val="center"/>
              <w:rPr>
                <w:rFonts w:hint="eastAsia" w:ascii="华文楷体" w:hAnsi="华文楷体" w:eastAsia="华文楷体" w:cs="华文楷体"/>
                <w:sz w:val="24"/>
              </w:rPr>
            </w:pPr>
          </w:p>
        </w:tc>
        <w:tc>
          <w:tcPr>
            <w:tcW w:w="10348" w:type="dxa"/>
          </w:tcPr>
          <w:p w14:paraId="624340F7">
            <w:pPr>
              <w:spacing w:line="360" w:lineRule="exact"/>
              <w:rPr>
                <w:rFonts w:hint="eastAsia" w:ascii="华文楷体" w:hAnsi="华文楷体" w:eastAsia="华文楷体" w:cs="华文楷体"/>
                <w:sz w:val="24"/>
              </w:rPr>
            </w:pPr>
            <w:r>
              <w:rPr>
                <w:rFonts w:hint="eastAsia" w:ascii="华文楷体" w:hAnsi="华文楷体" w:eastAsia="华文楷体" w:cs="华文楷体"/>
                <w:spacing w:val="-16"/>
                <w:kern w:val="0"/>
                <w:sz w:val="24"/>
              </w:rPr>
              <w:t>（</w:t>
            </w:r>
            <w:r>
              <w:rPr>
                <w:rFonts w:ascii="华文楷体" w:hAnsi="华文楷体" w:eastAsia="华文楷体" w:cs="华文楷体"/>
                <w:spacing w:val="-16"/>
                <w:kern w:val="0"/>
                <w:sz w:val="24"/>
              </w:rPr>
              <w:t xml:space="preserve">3） </w:t>
            </w:r>
            <w:r>
              <w:rPr>
                <w:rFonts w:hint="eastAsia" w:ascii="华文楷体" w:hAnsi="华文楷体" w:eastAsia="华文楷体" w:cs="华文楷体"/>
                <w:spacing w:val="-16"/>
                <w:kern w:val="0"/>
                <w:sz w:val="24"/>
              </w:rPr>
              <w:t>私拉电线、私自改装电源线路。</w:t>
            </w:r>
          </w:p>
        </w:tc>
        <w:tc>
          <w:tcPr>
            <w:tcW w:w="850" w:type="dxa"/>
            <w:vAlign w:val="center"/>
          </w:tcPr>
          <w:p w14:paraId="37813DDC">
            <w:pPr>
              <w:spacing w:line="240" w:lineRule="exact"/>
              <w:jc w:val="center"/>
              <w:rPr>
                <w:rFonts w:hint="eastAsia" w:ascii="华文楷体" w:hAnsi="华文楷体" w:eastAsia="华文楷体" w:cs="华文楷体"/>
                <w:b/>
                <w:sz w:val="24"/>
              </w:rPr>
            </w:pPr>
            <w:r>
              <w:rPr>
                <w:rFonts w:ascii="华文楷体" w:hAnsi="华文楷体" w:eastAsia="华文楷体" w:cs="华文楷体"/>
                <w:b/>
                <w:sz w:val="24"/>
              </w:rPr>
              <w:t>12分</w:t>
            </w:r>
          </w:p>
        </w:tc>
        <w:tc>
          <w:tcPr>
            <w:tcW w:w="851" w:type="dxa"/>
          </w:tcPr>
          <w:p w14:paraId="75E7BDA9">
            <w:pPr>
              <w:spacing w:line="240" w:lineRule="exact"/>
              <w:jc w:val="center"/>
              <w:rPr>
                <w:rFonts w:hint="eastAsia" w:ascii="华文楷体" w:hAnsi="华文楷体" w:eastAsia="华文楷体" w:cs="华文楷体"/>
                <w:b/>
                <w:sz w:val="24"/>
              </w:rPr>
            </w:pPr>
            <w:r>
              <w:rPr>
                <w:rFonts w:hint="eastAsia" w:ascii="华文楷体" w:hAnsi="华文楷体" w:eastAsia="华文楷体" w:cs="华文楷体"/>
                <w:b/>
                <w:sz w:val="24"/>
              </w:rPr>
              <w:t>封停整治</w:t>
            </w:r>
          </w:p>
        </w:tc>
      </w:tr>
      <w:tr w14:paraId="37DDB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gridSpan w:val="2"/>
            <w:vMerge w:val="continue"/>
          </w:tcPr>
          <w:p w14:paraId="4A7D1BE1">
            <w:pPr>
              <w:spacing w:line="360" w:lineRule="exact"/>
              <w:jc w:val="center"/>
              <w:rPr>
                <w:rFonts w:hint="eastAsia" w:ascii="华文楷体" w:hAnsi="华文楷体" w:eastAsia="华文楷体" w:cs="华文楷体"/>
                <w:sz w:val="24"/>
              </w:rPr>
            </w:pPr>
          </w:p>
        </w:tc>
        <w:tc>
          <w:tcPr>
            <w:tcW w:w="1276" w:type="dxa"/>
            <w:vMerge w:val="continue"/>
          </w:tcPr>
          <w:p w14:paraId="1683C736">
            <w:pPr>
              <w:spacing w:line="360" w:lineRule="exact"/>
              <w:jc w:val="center"/>
              <w:rPr>
                <w:rFonts w:hint="eastAsia" w:ascii="华文楷体" w:hAnsi="华文楷体" w:eastAsia="华文楷体" w:cs="华文楷体"/>
                <w:sz w:val="24"/>
              </w:rPr>
            </w:pPr>
          </w:p>
        </w:tc>
        <w:tc>
          <w:tcPr>
            <w:tcW w:w="10348" w:type="dxa"/>
          </w:tcPr>
          <w:p w14:paraId="776378EE">
            <w:pPr>
              <w:spacing w:line="360" w:lineRule="exact"/>
              <w:rPr>
                <w:rFonts w:hint="eastAsia" w:ascii="华文楷体" w:hAnsi="华文楷体" w:eastAsia="华文楷体" w:cs="华文楷体"/>
                <w:sz w:val="24"/>
              </w:rPr>
            </w:pPr>
            <w:r>
              <w:rPr>
                <w:rFonts w:hint="eastAsia" w:ascii="华文楷体" w:hAnsi="华文楷体" w:eastAsia="华文楷体" w:cs="华文楷体"/>
                <w:sz w:val="24"/>
              </w:rPr>
              <w:t>（4）高压、大电流等强电实验室未设定安全距离，未按规定设置安全警示牌、安全信号灯、联动式警铃、门锁，未设有安全隔离装置或屏蔽遮拦。</w:t>
            </w:r>
          </w:p>
        </w:tc>
        <w:tc>
          <w:tcPr>
            <w:tcW w:w="850" w:type="dxa"/>
            <w:vAlign w:val="center"/>
          </w:tcPr>
          <w:p w14:paraId="5668BCD4">
            <w:pPr>
              <w:spacing w:line="380" w:lineRule="exact"/>
              <w:jc w:val="center"/>
              <w:rPr>
                <w:rFonts w:hint="eastAsia" w:ascii="华文楷体" w:hAnsi="华文楷体" w:eastAsia="华文楷体" w:cs="华文楷体"/>
                <w:sz w:val="24"/>
              </w:rPr>
            </w:pPr>
            <w:r>
              <w:rPr>
                <w:rFonts w:hint="eastAsia" w:ascii="华文楷体" w:hAnsi="华文楷体" w:eastAsia="华文楷体" w:cs="华文楷体"/>
                <w:sz w:val="24"/>
              </w:rPr>
              <w:t>4分</w:t>
            </w:r>
          </w:p>
        </w:tc>
        <w:tc>
          <w:tcPr>
            <w:tcW w:w="851" w:type="dxa"/>
          </w:tcPr>
          <w:p w14:paraId="269D45FC">
            <w:pPr>
              <w:spacing w:line="360" w:lineRule="exact"/>
              <w:jc w:val="center"/>
              <w:rPr>
                <w:rFonts w:hint="eastAsia" w:ascii="华文楷体" w:hAnsi="华文楷体" w:eastAsia="华文楷体" w:cs="华文楷体"/>
                <w:sz w:val="24"/>
              </w:rPr>
            </w:pPr>
          </w:p>
        </w:tc>
      </w:tr>
      <w:tr w14:paraId="7DF47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gridSpan w:val="2"/>
            <w:vMerge w:val="continue"/>
          </w:tcPr>
          <w:p w14:paraId="6909E2EB">
            <w:pPr>
              <w:spacing w:line="360" w:lineRule="exact"/>
              <w:jc w:val="center"/>
              <w:rPr>
                <w:rFonts w:hint="eastAsia" w:ascii="华文楷体" w:hAnsi="华文楷体" w:eastAsia="华文楷体" w:cs="华文楷体"/>
                <w:sz w:val="24"/>
              </w:rPr>
            </w:pPr>
          </w:p>
        </w:tc>
        <w:tc>
          <w:tcPr>
            <w:tcW w:w="1276" w:type="dxa"/>
            <w:vMerge w:val="continue"/>
          </w:tcPr>
          <w:p w14:paraId="1EBCA203">
            <w:pPr>
              <w:spacing w:line="360" w:lineRule="exact"/>
              <w:jc w:val="center"/>
              <w:rPr>
                <w:rFonts w:hint="eastAsia" w:ascii="华文楷体" w:hAnsi="华文楷体" w:eastAsia="华文楷体" w:cs="华文楷体"/>
                <w:sz w:val="24"/>
              </w:rPr>
            </w:pPr>
          </w:p>
        </w:tc>
        <w:tc>
          <w:tcPr>
            <w:tcW w:w="10348" w:type="dxa"/>
          </w:tcPr>
          <w:p w14:paraId="70F798CF">
            <w:pPr>
              <w:spacing w:line="360" w:lineRule="exact"/>
              <w:rPr>
                <w:rFonts w:hint="eastAsia" w:ascii="华文楷体" w:hAnsi="华文楷体" w:eastAsia="华文楷体" w:cs="华文楷体"/>
                <w:sz w:val="24"/>
              </w:rPr>
            </w:pPr>
            <w:r>
              <w:rPr>
                <w:rFonts w:hint="eastAsia" w:ascii="华文楷体" w:hAnsi="华文楷体" w:eastAsia="华文楷体" w:cs="华文楷体"/>
                <w:sz w:val="24"/>
              </w:rPr>
              <w:t>（5）强电设备在断电操作时，未在电源箱处设置明显警示标识（防止他人随意合闸）。</w:t>
            </w:r>
          </w:p>
        </w:tc>
        <w:tc>
          <w:tcPr>
            <w:tcW w:w="850" w:type="dxa"/>
            <w:vAlign w:val="center"/>
          </w:tcPr>
          <w:p w14:paraId="6620AA5E">
            <w:pPr>
              <w:spacing w:line="380" w:lineRule="exact"/>
              <w:jc w:val="center"/>
              <w:rPr>
                <w:rFonts w:hint="eastAsia" w:ascii="华文楷体" w:hAnsi="华文楷体" w:eastAsia="华文楷体" w:cs="华文楷体"/>
                <w:sz w:val="24"/>
              </w:rPr>
            </w:pPr>
            <w:r>
              <w:rPr>
                <w:rFonts w:hint="eastAsia" w:ascii="华文楷体" w:hAnsi="华文楷体" w:eastAsia="华文楷体" w:cs="华文楷体"/>
                <w:sz w:val="24"/>
              </w:rPr>
              <w:t>4分</w:t>
            </w:r>
          </w:p>
        </w:tc>
        <w:tc>
          <w:tcPr>
            <w:tcW w:w="851" w:type="dxa"/>
          </w:tcPr>
          <w:p w14:paraId="6EBE2E54">
            <w:pPr>
              <w:spacing w:line="360" w:lineRule="exact"/>
              <w:jc w:val="center"/>
              <w:rPr>
                <w:rFonts w:hint="eastAsia" w:ascii="华文楷体" w:hAnsi="华文楷体" w:eastAsia="华文楷体" w:cs="华文楷体"/>
                <w:sz w:val="24"/>
              </w:rPr>
            </w:pPr>
          </w:p>
        </w:tc>
      </w:tr>
      <w:tr w14:paraId="2F545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817" w:type="dxa"/>
            <w:gridSpan w:val="2"/>
            <w:vMerge w:val="restart"/>
          </w:tcPr>
          <w:p w14:paraId="68DB824F">
            <w:pPr>
              <w:spacing w:line="360" w:lineRule="exact"/>
              <w:rPr>
                <w:rFonts w:hint="eastAsia" w:ascii="华文楷体" w:hAnsi="华文楷体" w:eastAsia="华文楷体" w:cs="华文楷体"/>
                <w:b/>
                <w:bCs/>
                <w:sz w:val="24"/>
              </w:rPr>
            </w:pPr>
            <w:r>
              <w:rPr>
                <w:rFonts w:hint="eastAsia" w:ascii="华文楷体" w:hAnsi="华文楷体" w:eastAsia="华文楷体" w:cs="华文楷体"/>
                <w:b/>
                <w:bCs/>
                <w:sz w:val="24"/>
              </w:rPr>
              <w:t>6</w:t>
            </w:r>
          </w:p>
        </w:tc>
        <w:tc>
          <w:tcPr>
            <w:tcW w:w="1276" w:type="dxa"/>
            <w:vMerge w:val="restart"/>
          </w:tcPr>
          <w:p w14:paraId="0EA1AE82">
            <w:pPr>
              <w:spacing w:line="360" w:lineRule="exact"/>
              <w:jc w:val="center"/>
              <w:rPr>
                <w:rFonts w:hint="eastAsia" w:ascii="华文楷体" w:hAnsi="华文楷体" w:eastAsia="华文楷体" w:cs="华文楷体"/>
                <w:b/>
                <w:bCs/>
                <w:sz w:val="24"/>
              </w:rPr>
            </w:pPr>
            <w:r>
              <w:rPr>
                <w:rFonts w:hint="eastAsia" w:ascii="华文楷体" w:hAnsi="华文楷体" w:eastAsia="华文楷体" w:cs="华文楷体"/>
                <w:b/>
                <w:bCs/>
                <w:sz w:val="24"/>
              </w:rPr>
              <w:t>化学试剂</w:t>
            </w:r>
          </w:p>
        </w:tc>
        <w:tc>
          <w:tcPr>
            <w:tcW w:w="10348" w:type="dxa"/>
          </w:tcPr>
          <w:p w14:paraId="69126AE8">
            <w:pPr>
              <w:spacing w:line="360" w:lineRule="exact"/>
              <w:rPr>
                <w:rFonts w:hint="eastAsia" w:ascii="华文楷体" w:hAnsi="华文楷体" w:eastAsia="华文楷体" w:cs="华文楷体"/>
                <w:sz w:val="24"/>
              </w:rPr>
            </w:pPr>
            <w:r>
              <w:rPr>
                <w:rFonts w:hint="eastAsia" w:ascii="华文楷体" w:hAnsi="华文楷体" w:eastAsia="华文楷体" w:cs="华文楷体"/>
                <w:sz w:val="24"/>
              </w:rPr>
              <w:t>（1）使用的试剂存放不符合安全保管条件，</w:t>
            </w:r>
            <w:r>
              <w:rPr>
                <w:rFonts w:hint="eastAsia" w:ascii="华文楷体" w:hAnsi="华文楷体" w:eastAsia="华文楷体" w:cs="华文楷体"/>
                <w:spacing w:val="-16"/>
                <w:kern w:val="0"/>
                <w:sz w:val="24"/>
              </w:rPr>
              <w:t>实验室内未张贴使用化学品目录或台帐。</w:t>
            </w:r>
          </w:p>
        </w:tc>
        <w:tc>
          <w:tcPr>
            <w:tcW w:w="850" w:type="dxa"/>
            <w:vAlign w:val="center"/>
          </w:tcPr>
          <w:p w14:paraId="167E72E8">
            <w:pPr>
              <w:spacing w:line="380" w:lineRule="exact"/>
              <w:jc w:val="center"/>
              <w:rPr>
                <w:rFonts w:hint="eastAsia" w:ascii="华文楷体" w:hAnsi="华文楷体" w:eastAsia="华文楷体" w:cs="华文楷体"/>
                <w:sz w:val="24"/>
              </w:rPr>
            </w:pPr>
            <w:r>
              <w:rPr>
                <w:rFonts w:hint="eastAsia" w:ascii="华文楷体" w:hAnsi="华文楷体" w:eastAsia="华文楷体" w:cs="华文楷体"/>
                <w:sz w:val="24"/>
              </w:rPr>
              <w:t>3分</w:t>
            </w:r>
          </w:p>
        </w:tc>
        <w:tc>
          <w:tcPr>
            <w:tcW w:w="851" w:type="dxa"/>
          </w:tcPr>
          <w:p w14:paraId="4A86EF59">
            <w:pPr>
              <w:spacing w:line="380" w:lineRule="exact"/>
              <w:jc w:val="center"/>
              <w:rPr>
                <w:rFonts w:hint="eastAsia" w:ascii="华文楷体" w:hAnsi="华文楷体" w:eastAsia="华文楷体" w:cs="华文楷体"/>
                <w:sz w:val="24"/>
              </w:rPr>
            </w:pPr>
          </w:p>
        </w:tc>
      </w:tr>
      <w:tr w14:paraId="4911F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17" w:type="dxa"/>
            <w:gridSpan w:val="2"/>
            <w:vMerge w:val="continue"/>
          </w:tcPr>
          <w:p w14:paraId="15A83F58">
            <w:pPr>
              <w:spacing w:line="360" w:lineRule="exact"/>
              <w:jc w:val="center"/>
              <w:rPr>
                <w:rFonts w:hint="eastAsia" w:ascii="华文楷体" w:hAnsi="华文楷体" w:eastAsia="华文楷体" w:cs="华文楷体"/>
                <w:sz w:val="24"/>
              </w:rPr>
            </w:pPr>
          </w:p>
        </w:tc>
        <w:tc>
          <w:tcPr>
            <w:tcW w:w="1276" w:type="dxa"/>
            <w:vMerge w:val="continue"/>
          </w:tcPr>
          <w:p w14:paraId="6345B0E9">
            <w:pPr>
              <w:spacing w:line="360" w:lineRule="exact"/>
              <w:jc w:val="center"/>
              <w:rPr>
                <w:rFonts w:hint="eastAsia" w:ascii="华文楷体" w:hAnsi="华文楷体" w:eastAsia="华文楷体" w:cs="华文楷体"/>
                <w:sz w:val="24"/>
              </w:rPr>
            </w:pPr>
          </w:p>
        </w:tc>
        <w:tc>
          <w:tcPr>
            <w:tcW w:w="10348" w:type="dxa"/>
          </w:tcPr>
          <w:p w14:paraId="7477D58E">
            <w:pPr>
              <w:spacing w:line="360" w:lineRule="exact"/>
              <w:rPr>
                <w:rFonts w:hint="eastAsia" w:ascii="华文楷体" w:hAnsi="华文楷体" w:eastAsia="华文楷体" w:cs="华文楷体"/>
                <w:b/>
                <w:sz w:val="24"/>
              </w:rPr>
            </w:pPr>
            <w:r>
              <w:rPr>
                <w:rFonts w:hint="eastAsia" w:ascii="华文楷体" w:hAnsi="华文楷体" w:eastAsia="华文楷体" w:cs="华文楷体"/>
                <w:sz w:val="24"/>
              </w:rPr>
              <w:t>（2）使用的危险化学品或放射性物质或致病性微生物未按照有关规定存放在安全位置（如加锁的专用柜子或专门的贮存室），并未设危险警示标志。</w:t>
            </w:r>
          </w:p>
        </w:tc>
        <w:tc>
          <w:tcPr>
            <w:tcW w:w="850" w:type="dxa"/>
            <w:vAlign w:val="center"/>
          </w:tcPr>
          <w:p w14:paraId="47E4CFD3">
            <w:pPr>
              <w:spacing w:line="380" w:lineRule="exact"/>
              <w:jc w:val="center"/>
              <w:rPr>
                <w:rFonts w:hint="eastAsia" w:ascii="华文楷体" w:hAnsi="华文楷体" w:eastAsia="华文楷体" w:cs="华文楷体"/>
                <w:b/>
                <w:sz w:val="24"/>
              </w:rPr>
            </w:pPr>
            <w:r>
              <w:rPr>
                <w:rFonts w:hint="eastAsia" w:ascii="华文楷体" w:hAnsi="华文楷体" w:eastAsia="华文楷体" w:cs="华文楷体"/>
                <w:b/>
                <w:sz w:val="24"/>
              </w:rPr>
              <w:t>8分</w:t>
            </w:r>
          </w:p>
        </w:tc>
        <w:tc>
          <w:tcPr>
            <w:tcW w:w="851" w:type="dxa"/>
          </w:tcPr>
          <w:p w14:paraId="384B8944">
            <w:pPr>
              <w:spacing w:line="380" w:lineRule="exact"/>
              <w:jc w:val="center"/>
              <w:rPr>
                <w:rFonts w:hint="eastAsia" w:ascii="华文楷体" w:hAnsi="华文楷体" w:eastAsia="华文楷体" w:cs="华文楷体"/>
                <w:sz w:val="24"/>
              </w:rPr>
            </w:pPr>
          </w:p>
        </w:tc>
      </w:tr>
      <w:tr w14:paraId="32330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17" w:type="dxa"/>
            <w:gridSpan w:val="2"/>
            <w:vMerge w:val="continue"/>
          </w:tcPr>
          <w:p w14:paraId="758C4586">
            <w:pPr>
              <w:spacing w:line="360" w:lineRule="exact"/>
              <w:jc w:val="center"/>
              <w:rPr>
                <w:rFonts w:hint="eastAsia" w:ascii="华文楷体" w:hAnsi="华文楷体" w:eastAsia="华文楷体" w:cs="华文楷体"/>
                <w:sz w:val="24"/>
              </w:rPr>
            </w:pPr>
          </w:p>
        </w:tc>
        <w:tc>
          <w:tcPr>
            <w:tcW w:w="1276" w:type="dxa"/>
            <w:vMerge w:val="continue"/>
          </w:tcPr>
          <w:p w14:paraId="531A430E">
            <w:pPr>
              <w:spacing w:line="360" w:lineRule="exact"/>
              <w:jc w:val="center"/>
              <w:rPr>
                <w:rFonts w:hint="eastAsia" w:ascii="华文楷体" w:hAnsi="华文楷体" w:eastAsia="华文楷体" w:cs="华文楷体"/>
                <w:sz w:val="24"/>
              </w:rPr>
            </w:pPr>
          </w:p>
        </w:tc>
        <w:tc>
          <w:tcPr>
            <w:tcW w:w="10348" w:type="dxa"/>
          </w:tcPr>
          <w:p w14:paraId="66C6CD61">
            <w:pPr>
              <w:spacing w:line="360" w:lineRule="exact"/>
              <w:rPr>
                <w:rFonts w:hint="eastAsia" w:ascii="华文楷体" w:hAnsi="华文楷体" w:eastAsia="华文楷体" w:cs="华文楷体"/>
                <w:sz w:val="24"/>
              </w:rPr>
            </w:pPr>
            <w:r>
              <w:rPr>
                <w:rFonts w:hint="eastAsia" w:ascii="华文楷体" w:hAnsi="华文楷体" w:eastAsia="华文楷体" w:cs="华文楷体"/>
                <w:sz w:val="24"/>
              </w:rPr>
              <w:t>（3）存在标签脱落、模糊或无标签的化学试剂等现象。</w:t>
            </w:r>
          </w:p>
        </w:tc>
        <w:tc>
          <w:tcPr>
            <w:tcW w:w="850" w:type="dxa"/>
            <w:vAlign w:val="center"/>
          </w:tcPr>
          <w:p w14:paraId="6AFE776B">
            <w:pPr>
              <w:spacing w:line="380" w:lineRule="exact"/>
              <w:jc w:val="center"/>
              <w:rPr>
                <w:rFonts w:hint="eastAsia" w:ascii="华文楷体" w:hAnsi="华文楷体" w:eastAsia="华文楷体" w:cs="华文楷体"/>
                <w:sz w:val="24"/>
              </w:rPr>
            </w:pPr>
            <w:r>
              <w:rPr>
                <w:rFonts w:hint="eastAsia" w:ascii="华文楷体" w:hAnsi="华文楷体" w:eastAsia="华文楷体" w:cs="华文楷体"/>
                <w:sz w:val="24"/>
              </w:rPr>
              <w:t>3分</w:t>
            </w:r>
          </w:p>
        </w:tc>
        <w:tc>
          <w:tcPr>
            <w:tcW w:w="851" w:type="dxa"/>
          </w:tcPr>
          <w:p w14:paraId="0016B0BA">
            <w:pPr>
              <w:spacing w:line="380" w:lineRule="exact"/>
              <w:jc w:val="center"/>
              <w:rPr>
                <w:rFonts w:hint="eastAsia" w:ascii="华文楷体" w:hAnsi="华文楷体" w:eastAsia="华文楷体" w:cs="华文楷体"/>
                <w:sz w:val="24"/>
              </w:rPr>
            </w:pPr>
          </w:p>
        </w:tc>
      </w:tr>
      <w:tr w14:paraId="19F52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17" w:type="dxa"/>
            <w:gridSpan w:val="2"/>
            <w:vMerge w:val="continue"/>
          </w:tcPr>
          <w:p w14:paraId="3E89D673">
            <w:pPr>
              <w:spacing w:line="360" w:lineRule="exact"/>
              <w:jc w:val="center"/>
              <w:rPr>
                <w:rFonts w:hint="eastAsia" w:ascii="华文楷体" w:hAnsi="华文楷体" w:eastAsia="华文楷体" w:cs="华文楷体"/>
                <w:sz w:val="24"/>
              </w:rPr>
            </w:pPr>
          </w:p>
        </w:tc>
        <w:tc>
          <w:tcPr>
            <w:tcW w:w="1276" w:type="dxa"/>
            <w:vMerge w:val="continue"/>
          </w:tcPr>
          <w:p w14:paraId="5DFE9B75">
            <w:pPr>
              <w:spacing w:line="360" w:lineRule="exact"/>
              <w:jc w:val="center"/>
              <w:rPr>
                <w:rFonts w:hint="eastAsia" w:ascii="华文楷体" w:hAnsi="华文楷体" w:eastAsia="华文楷体" w:cs="华文楷体"/>
                <w:sz w:val="24"/>
              </w:rPr>
            </w:pPr>
          </w:p>
        </w:tc>
        <w:tc>
          <w:tcPr>
            <w:tcW w:w="10348" w:type="dxa"/>
          </w:tcPr>
          <w:p w14:paraId="55FBC3C2">
            <w:pPr>
              <w:spacing w:line="360" w:lineRule="exact"/>
              <w:rPr>
                <w:rFonts w:hint="eastAsia" w:ascii="华文楷体" w:hAnsi="华文楷体" w:eastAsia="华文楷体" w:cs="华文楷体"/>
                <w:sz w:val="24"/>
              </w:rPr>
            </w:pPr>
            <w:r>
              <w:rPr>
                <w:rFonts w:hint="eastAsia" w:ascii="华文楷体" w:hAnsi="华文楷体" w:eastAsia="华文楷体" w:cs="华文楷体"/>
                <w:sz w:val="24"/>
              </w:rPr>
              <w:t>（4）存在试剂瓶盖开口放置的现象。</w:t>
            </w:r>
          </w:p>
        </w:tc>
        <w:tc>
          <w:tcPr>
            <w:tcW w:w="850" w:type="dxa"/>
            <w:vAlign w:val="center"/>
          </w:tcPr>
          <w:p w14:paraId="56E2C167">
            <w:pPr>
              <w:spacing w:line="380" w:lineRule="exact"/>
              <w:jc w:val="center"/>
              <w:rPr>
                <w:rFonts w:hint="eastAsia" w:ascii="华文楷体" w:hAnsi="华文楷体" w:eastAsia="华文楷体" w:cs="华文楷体"/>
                <w:sz w:val="24"/>
              </w:rPr>
            </w:pPr>
            <w:r>
              <w:rPr>
                <w:rFonts w:hint="eastAsia" w:ascii="华文楷体" w:hAnsi="华文楷体" w:eastAsia="华文楷体" w:cs="华文楷体"/>
                <w:sz w:val="24"/>
              </w:rPr>
              <w:t>3分</w:t>
            </w:r>
          </w:p>
        </w:tc>
        <w:tc>
          <w:tcPr>
            <w:tcW w:w="851" w:type="dxa"/>
          </w:tcPr>
          <w:p w14:paraId="1046B1EB">
            <w:pPr>
              <w:spacing w:line="380" w:lineRule="exact"/>
              <w:jc w:val="center"/>
              <w:rPr>
                <w:rFonts w:hint="eastAsia" w:ascii="华文楷体" w:hAnsi="华文楷体" w:eastAsia="华文楷体" w:cs="华文楷体"/>
                <w:sz w:val="24"/>
              </w:rPr>
            </w:pPr>
          </w:p>
        </w:tc>
      </w:tr>
      <w:tr w14:paraId="2B0D5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17" w:type="dxa"/>
            <w:gridSpan w:val="2"/>
            <w:vMerge w:val="continue"/>
          </w:tcPr>
          <w:p w14:paraId="7E740A97">
            <w:pPr>
              <w:spacing w:line="360" w:lineRule="exact"/>
              <w:jc w:val="center"/>
              <w:rPr>
                <w:rFonts w:hint="eastAsia" w:ascii="华文楷体" w:hAnsi="华文楷体" w:eastAsia="华文楷体" w:cs="华文楷体"/>
                <w:sz w:val="24"/>
              </w:rPr>
            </w:pPr>
          </w:p>
        </w:tc>
        <w:tc>
          <w:tcPr>
            <w:tcW w:w="1276" w:type="dxa"/>
            <w:vMerge w:val="continue"/>
          </w:tcPr>
          <w:p w14:paraId="0F479E64">
            <w:pPr>
              <w:spacing w:line="360" w:lineRule="exact"/>
              <w:jc w:val="center"/>
              <w:rPr>
                <w:rFonts w:hint="eastAsia" w:ascii="华文楷体" w:hAnsi="华文楷体" w:eastAsia="华文楷体" w:cs="华文楷体"/>
                <w:sz w:val="24"/>
              </w:rPr>
            </w:pPr>
          </w:p>
        </w:tc>
        <w:tc>
          <w:tcPr>
            <w:tcW w:w="10348" w:type="dxa"/>
          </w:tcPr>
          <w:p w14:paraId="1235493F">
            <w:pPr>
              <w:spacing w:line="360" w:lineRule="exact"/>
              <w:rPr>
                <w:rFonts w:hint="eastAsia" w:ascii="华文楷体" w:hAnsi="华文楷体" w:eastAsia="华文楷体" w:cs="华文楷体"/>
                <w:sz w:val="24"/>
              </w:rPr>
            </w:pPr>
            <w:r>
              <w:rPr>
                <w:rFonts w:hint="eastAsia" w:ascii="华文楷体" w:hAnsi="华文楷体" w:eastAsia="华文楷体" w:cs="华文楷体"/>
                <w:sz w:val="24"/>
              </w:rPr>
              <w:t>（5）有过期试剂或药品。</w:t>
            </w:r>
          </w:p>
        </w:tc>
        <w:tc>
          <w:tcPr>
            <w:tcW w:w="850" w:type="dxa"/>
            <w:vAlign w:val="center"/>
          </w:tcPr>
          <w:p w14:paraId="75BDCA98">
            <w:pPr>
              <w:spacing w:line="380" w:lineRule="exact"/>
              <w:jc w:val="center"/>
              <w:rPr>
                <w:rFonts w:hint="eastAsia" w:ascii="华文楷体" w:hAnsi="华文楷体" w:eastAsia="华文楷体" w:cs="华文楷体"/>
                <w:sz w:val="24"/>
              </w:rPr>
            </w:pPr>
            <w:r>
              <w:rPr>
                <w:rFonts w:hint="eastAsia" w:ascii="华文楷体" w:hAnsi="华文楷体" w:eastAsia="华文楷体" w:cs="华文楷体"/>
                <w:sz w:val="24"/>
              </w:rPr>
              <w:t>2分</w:t>
            </w:r>
          </w:p>
        </w:tc>
        <w:tc>
          <w:tcPr>
            <w:tcW w:w="851" w:type="dxa"/>
          </w:tcPr>
          <w:p w14:paraId="06F1BDD9">
            <w:pPr>
              <w:spacing w:line="380" w:lineRule="exact"/>
              <w:jc w:val="center"/>
              <w:rPr>
                <w:rFonts w:hint="eastAsia" w:ascii="华文楷体" w:hAnsi="华文楷体" w:eastAsia="华文楷体" w:cs="华文楷体"/>
                <w:sz w:val="24"/>
              </w:rPr>
            </w:pPr>
          </w:p>
        </w:tc>
      </w:tr>
      <w:tr w14:paraId="36454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17" w:type="dxa"/>
            <w:gridSpan w:val="2"/>
            <w:vMerge w:val="continue"/>
          </w:tcPr>
          <w:p w14:paraId="7BE7FB03">
            <w:pPr>
              <w:spacing w:line="360" w:lineRule="exact"/>
              <w:jc w:val="center"/>
              <w:rPr>
                <w:rFonts w:hint="eastAsia" w:ascii="华文楷体" w:hAnsi="华文楷体" w:eastAsia="华文楷体" w:cs="华文楷体"/>
                <w:sz w:val="24"/>
              </w:rPr>
            </w:pPr>
          </w:p>
        </w:tc>
        <w:tc>
          <w:tcPr>
            <w:tcW w:w="1276" w:type="dxa"/>
            <w:vMerge w:val="continue"/>
          </w:tcPr>
          <w:p w14:paraId="5B62BA86">
            <w:pPr>
              <w:spacing w:line="360" w:lineRule="exact"/>
              <w:jc w:val="center"/>
              <w:rPr>
                <w:rFonts w:hint="eastAsia" w:ascii="华文楷体" w:hAnsi="华文楷体" w:eastAsia="华文楷体" w:cs="华文楷体"/>
                <w:sz w:val="24"/>
              </w:rPr>
            </w:pPr>
          </w:p>
        </w:tc>
        <w:tc>
          <w:tcPr>
            <w:tcW w:w="10348" w:type="dxa"/>
          </w:tcPr>
          <w:p w14:paraId="1554AE00">
            <w:pPr>
              <w:spacing w:line="360" w:lineRule="exact"/>
              <w:rPr>
                <w:rFonts w:hint="eastAsia" w:ascii="华文楷体" w:hAnsi="华文楷体" w:eastAsia="华文楷体" w:cs="华文楷体"/>
                <w:sz w:val="24"/>
              </w:rPr>
            </w:pPr>
            <w:r>
              <w:rPr>
                <w:rFonts w:hint="eastAsia" w:ascii="华文楷体" w:hAnsi="华文楷体" w:eastAsia="华文楷体" w:cs="华文楷体"/>
                <w:sz w:val="24"/>
              </w:rPr>
              <w:t>（6）</w:t>
            </w:r>
            <w:r>
              <w:rPr>
                <w:rFonts w:ascii="华文楷体" w:hAnsi="华文楷体" w:eastAsia="华文楷体" w:cs="华文楷体"/>
                <w:sz w:val="24"/>
              </w:rPr>
              <w:t>50米</w:t>
            </w:r>
            <w:r>
              <w:rPr>
                <w:rFonts w:ascii="华文楷体" w:hAnsi="华文楷体" w:eastAsia="华文楷体" w:cs="华文楷体"/>
                <w:sz w:val="24"/>
                <w:vertAlign w:val="superscript"/>
              </w:rPr>
              <w:t>2</w:t>
            </w:r>
            <w:r>
              <w:rPr>
                <w:rFonts w:hint="eastAsia" w:ascii="华文楷体" w:hAnsi="华文楷体" w:eastAsia="华文楷体" w:cs="华文楷体"/>
                <w:sz w:val="24"/>
              </w:rPr>
              <w:t>实验室内存放危化品超过100L或100kg，其中易燃易爆性化学品超过50L或50kg，且单一包装容器大于20L或20kg的现象。</w:t>
            </w:r>
          </w:p>
        </w:tc>
        <w:tc>
          <w:tcPr>
            <w:tcW w:w="850" w:type="dxa"/>
            <w:vAlign w:val="center"/>
          </w:tcPr>
          <w:p w14:paraId="564B723A">
            <w:pPr>
              <w:spacing w:line="380" w:lineRule="exact"/>
              <w:jc w:val="center"/>
              <w:rPr>
                <w:rFonts w:hint="eastAsia" w:ascii="华文楷体" w:hAnsi="华文楷体" w:eastAsia="华文楷体" w:cs="华文楷体"/>
                <w:sz w:val="24"/>
              </w:rPr>
            </w:pPr>
            <w:r>
              <w:rPr>
                <w:rFonts w:hint="eastAsia" w:ascii="华文楷体" w:hAnsi="华文楷体" w:eastAsia="华文楷体" w:cs="华文楷体"/>
                <w:sz w:val="24"/>
              </w:rPr>
              <w:t>6分</w:t>
            </w:r>
          </w:p>
        </w:tc>
        <w:tc>
          <w:tcPr>
            <w:tcW w:w="851" w:type="dxa"/>
          </w:tcPr>
          <w:p w14:paraId="4D5C7ABC">
            <w:pPr>
              <w:spacing w:line="380" w:lineRule="exact"/>
              <w:jc w:val="center"/>
              <w:rPr>
                <w:rFonts w:hint="eastAsia" w:ascii="华文楷体" w:hAnsi="华文楷体" w:eastAsia="华文楷体" w:cs="华文楷体"/>
                <w:sz w:val="24"/>
              </w:rPr>
            </w:pPr>
          </w:p>
        </w:tc>
      </w:tr>
      <w:tr w14:paraId="3C97F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17" w:type="dxa"/>
            <w:gridSpan w:val="2"/>
            <w:vMerge w:val="continue"/>
          </w:tcPr>
          <w:p w14:paraId="1725EF7C">
            <w:pPr>
              <w:spacing w:line="360" w:lineRule="exact"/>
              <w:jc w:val="center"/>
              <w:rPr>
                <w:rFonts w:hint="eastAsia" w:ascii="华文楷体" w:hAnsi="华文楷体" w:eastAsia="华文楷体" w:cs="华文楷体"/>
                <w:sz w:val="24"/>
              </w:rPr>
            </w:pPr>
          </w:p>
        </w:tc>
        <w:tc>
          <w:tcPr>
            <w:tcW w:w="1276" w:type="dxa"/>
            <w:vMerge w:val="continue"/>
          </w:tcPr>
          <w:p w14:paraId="5059DA94">
            <w:pPr>
              <w:spacing w:line="360" w:lineRule="exact"/>
              <w:jc w:val="center"/>
              <w:rPr>
                <w:rFonts w:hint="eastAsia" w:ascii="华文楷体" w:hAnsi="华文楷体" w:eastAsia="华文楷体" w:cs="华文楷体"/>
                <w:sz w:val="24"/>
              </w:rPr>
            </w:pPr>
          </w:p>
        </w:tc>
        <w:tc>
          <w:tcPr>
            <w:tcW w:w="10348" w:type="dxa"/>
          </w:tcPr>
          <w:p w14:paraId="26A7E4FB">
            <w:pPr>
              <w:spacing w:line="360" w:lineRule="exact"/>
              <w:rPr>
                <w:rFonts w:hint="eastAsia" w:ascii="华文楷体" w:hAnsi="华文楷体" w:eastAsia="华文楷体" w:cs="华文楷体"/>
                <w:sz w:val="24"/>
              </w:rPr>
            </w:pPr>
            <w:r>
              <w:rPr>
                <w:rFonts w:hint="eastAsia" w:ascii="华文楷体" w:hAnsi="华文楷体" w:eastAsia="华文楷体" w:cs="华文楷体"/>
                <w:sz w:val="24"/>
              </w:rPr>
              <w:t>（7）管制类（剧毒、易制毒、易制爆、爆炸品、麻醉药品、精神药品、医疗用毒性药品等）试剂未设专人保管、使用无明细登记台账、安全防范措施不到位等现象。</w:t>
            </w:r>
          </w:p>
        </w:tc>
        <w:tc>
          <w:tcPr>
            <w:tcW w:w="850" w:type="dxa"/>
            <w:vAlign w:val="center"/>
          </w:tcPr>
          <w:p w14:paraId="51E93C95">
            <w:pPr>
              <w:spacing w:line="380" w:lineRule="exact"/>
              <w:jc w:val="center"/>
              <w:rPr>
                <w:rFonts w:hint="eastAsia" w:ascii="华文楷体" w:hAnsi="华文楷体" w:eastAsia="华文楷体" w:cs="华文楷体"/>
                <w:sz w:val="24"/>
              </w:rPr>
            </w:pPr>
            <w:r>
              <w:rPr>
                <w:rFonts w:hint="eastAsia" w:ascii="华文楷体" w:hAnsi="华文楷体" w:eastAsia="华文楷体" w:cs="华文楷体"/>
                <w:sz w:val="24"/>
              </w:rPr>
              <w:t>6分</w:t>
            </w:r>
          </w:p>
        </w:tc>
        <w:tc>
          <w:tcPr>
            <w:tcW w:w="851" w:type="dxa"/>
          </w:tcPr>
          <w:p w14:paraId="5D50FC0C">
            <w:pPr>
              <w:spacing w:line="380" w:lineRule="exact"/>
              <w:jc w:val="center"/>
              <w:rPr>
                <w:rFonts w:hint="eastAsia" w:ascii="华文楷体" w:hAnsi="华文楷体" w:eastAsia="华文楷体" w:cs="华文楷体"/>
                <w:sz w:val="24"/>
              </w:rPr>
            </w:pPr>
          </w:p>
        </w:tc>
      </w:tr>
      <w:tr w14:paraId="546C6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17" w:type="dxa"/>
            <w:gridSpan w:val="2"/>
            <w:vMerge w:val="continue"/>
          </w:tcPr>
          <w:p w14:paraId="05C0E937">
            <w:pPr>
              <w:spacing w:line="360" w:lineRule="exact"/>
              <w:jc w:val="center"/>
              <w:rPr>
                <w:rFonts w:hint="eastAsia" w:ascii="华文楷体" w:hAnsi="华文楷体" w:eastAsia="华文楷体" w:cs="华文楷体"/>
                <w:sz w:val="24"/>
              </w:rPr>
            </w:pPr>
          </w:p>
        </w:tc>
        <w:tc>
          <w:tcPr>
            <w:tcW w:w="1276" w:type="dxa"/>
            <w:vMerge w:val="continue"/>
          </w:tcPr>
          <w:p w14:paraId="2D4760A2">
            <w:pPr>
              <w:spacing w:line="360" w:lineRule="exact"/>
              <w:jc w:val="center"/>
              <w:rPr>
                <w:rFonts w:hint="eastAsia" w:ascii="华文楷体" w:hAnsi="华文楷体" w:eastAsia="华文楷体" w:cs="华文楷体"/>
                <w:sz w:val="24"/>
              </w:rPr>
            </w:pPr>
          </w:p>
        </w:tc>
        <w:tc>
          <w:tcPr>
            <w:tcW w:w="10348" w:type="dxa"/>
          </w:tcPr>
          <w:p w14:paraId="63FDFF21">
            <w:pPr>
              <w:spacing w:line="360" w:lineRule="exact"/>
              <w:rPr>
                <w:rFonts w:hint="eastAsia" w:ascii="华文楷体" w:hAnsi="华文楷体" w:eastAsia="华文楷体" w:cs="华文楷体"/>
                <w:sz w:val="24"/>
              </w:rPr>
            </w:pPr>
            <w:r>
              <w:rPr>
                <w:rFonts w:hint="eastAsia" w:ascii="华文楷体" w:hAnsi="华文楷体" w:eastAsia="华文楷体" w:cs="华文楷体"/>
                <w:sz w:val="24"/>
              </w:rPr>
              <w:t>（8）剧毒品、易制毒品、易制爆品和爆炸品等购买前未经学校审批，未经公安部门批准或备案。私自接收或获取外单位上述管制类化学品。</w:t>
            </w:r>
          </w:p>
        </w:tc>
        <w:tc>
          <w:tcPr>
            <w:tcW w:w="850" w:type="dxa"/>
            <w:vAlign w:val="center"/>
          </w:tcPr>
          <w:p w14:paraId="26F651C1">
            <w:pPr>
              <w:spacing w:line="380" w:lineRule="exact"/>
              <w:jc w:val="center"/>
              <w:rPr>
                <w:rFonts w:hint="eastAsia" w:ascii="华文楷体" w:hAnsi="华文楷体" w:eastAsia="华文楷体" w:cs="华文楷体"/>
                <w:b/>
                <w:sz w:val="24"/>
              </w:rPr>
            </w:pPr>
            <w:r>
              <w:rPr>
                <w:rFonts w:ascii="华文楷体" w:hAnsi="华文楷体" w:eastAsia="华文楷体" w:cs="华文楷体"/>
                <w:b/>
                <w:sz w:val="24"/>
              </w:rPr>
              <w:t>12分</w:t>
            </w:r>
          </w:p>
        </w:tc>
        <w:tc>
          <w:tcPr>
            <w:tcW w:w="851" w:type="dxa"/>
          </w:tcPr>
          <w:p w14:paraId="347494A0">
            <w:pPr>
              <w:spacing w:line="380" w:lineRule="exact"/>
              <w:jc w:val="center"/>
              <w:rPr>
                <w:rFonts w:hint="eastAsia" w:ascii="华文楷体" w:hAnsi="华文楷体" w:eastAsia="华文楷体" w:cs="华文楷体"/>
                <w:b/>
                <w:sz w:val="24"/>
              </w:rPr>
            </w:pPr>
            <w:r>
              <w:rPr>
                <w:rFonts w:hint="eastAsia" w:ascii="华文楷体" w:hAnsi="华文楷体" w:eastAsia="华文楷体" w:cs="华文楷体"/>
                <w:b/>
                <w:sz w:val="24"/>
              </w:rPr>
              <w:t>封停整治</w:t>
            </w:r>
          </w:p>
        </w:tc>
      </w:tr>
      <w:tr w14:paraId="183F1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17" w:type="dxa"/>
            <w:gridSpan w:val="2"/>
            <w:vMerge w:val="continue"/>
          </w:tcPr>
          <w:p w14:paraId="73F34AE7">
            <w:pPr>
              <w:spacing w:line="360" w:lineRule="exact"/>
              <w:jc w:val="center"/>
              <w:rPr>
                <w:rFonts w:hint="eastAsia" w:ascii="华文楷体" w:hAnsi="华文楷体" w:eastAsia="华文楷体" w:cs="华文楷体"/>
                <w:sz w:val="24"/>
              </w:rPr>
            </w:pPr>
          </w:p>
        </w:tc>
        <w:tc>
          <w:tcPr>
            <w:tcW w:w="1276" w:type="dxa"/>
            <w:vMerge w:val="continue"/>
          </w:tcPr>
          <w:p w14:paraId="7FEBA49D">
            <w:pPr>
              <w:spacing w:line="360" w:lineRule="exact"/>
              <w:jc w:val="center"/>
              <w:rPr>
                <w:rFonts w:hint="eastAsia" w:ascii="华文楷体" w:hAnsi="华文楷体" w:eastAsia="华文楷体" w:cs="华文楷体"/>
                <w:sz w:val="24"/>
              </w:rPr>
            </w:pPr>
          </w:p>
        </w:tc>
        <w:tc>
          <w:tcPr>
            <w:tcW w:w="10348" w:type="dxa"/>
          </w:tcPr>
          <w:p w14:paraId="22AB4EC7">
            <w:pPr>
              <w:spacing w:line="360" w:lineRule="exact"/>
              <w:rPr>
                <w:rFonts w:hint="eastAsia" w:ascii="华文楷体" w:hAnsi="华文楷体" w:eastAsia="华文楷体" w:cs="华文楷体"/>
                <w:sz w:val="24"/>
              </w:rPr>
            </w:pPr>
            <w:r>
              <w:rPr>
                <w:rFonts w:hint="eastAsia" w:ascii="华文楷体" w:hAnsi="华文楷体" w:eastAsia="华文楷体" w:cs="华文楷体"/>
                <w:sz w:val="24"/>
              </w:rPr>
              <w:t>（9）存在未经报备的试剂药品。</w:t>
            </w:r>
          </w:p>
        </w:tc>
        <w:tc>
          <w:tcPr>
            <w:tcW w:w="850" w:type="dxa"/>
            <w:vAlign w:val="center"/>
          </w:tcPr>
          <w:p w14:paraId="775BC13B">
            <w:pPr>
              <w:spacing w:line="380" w:lineRule="exact"/>
              <w:jc w:val="center"/>
              <w:rPr>
                <w:rFonts w:hint="eastAsia" w:ascii="华文楷体" w:hAnsi="华文楷体" w:eastAsia="华文楷体" w:cs="华文楷体"/>
                <w:sz w:val="24"/>
              </w:rPr>
            </w:pPr>
            <w:r>
              <w:rPr>
                <w:rFonts w:hint="eastAsia" w:ascii="华文楷体" w:hAnsi="华文楷体" w:eastAsia="华文楷体" w:cs="华文楷体"/>
                <w:sz w:val="24"/>
              </w:rPr>
              <w:t>6分</w:t>
            </w:r>
          </w:p>
        </w:tc>
        <w:tc>
          <w:tcPr>
            <w:tcW w:w="851" w:type="dxa"/>
          </w:tcPr>
          <w:p w14:paraId="15AF075A">
            <w:pPr>
              <w:spacing w:line="380" w:lineRule="exact"/>
              <w:jc w:val="center"/>
              <w:rPr>
                <w:rFonts w:hint="eastAsia" w:ascii="华文楷体" w:hAnsi="华文楷体" w:eastAsia="华文楷体" w:cs="华文楷体"/>
                <w:sz w:val="24"/>
              </w:rPr>
            </w:pPr>
          </w:p>
        </w:tc>
      </w:tr>
      <w:tr w14:paraId="50B3C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gridSpan w:val="2"/>
            <w:vMerge w:val="restart"/>
          </w:tcPr>
          <w:p w14:paraId="7276E9D8">
            <w:pPr>
              <w:spacing w:line="360" w:lineRule="exact"/>
              <w:jc w:val="center"/>
              <w:rPr>
                <w:rFonts w:hint="eastAsia" w:ascii="华文楷体" w:hAnsi="华文楷体" w:eastAsia="华文楷体" w:cs="华文楷体"/>
                <w:b/>
                <w:bCs/>
                <w:sz w:val="24"/>
              </w:rPr>
            </w:pPr>
            <w:r>
              <w:rPr>
                <w:rFonts w:hint="eastAsia" w:ascii="华文楷体" w:hAnsi="华文楷体" w:eastAsia="华文楷体" w:cs="华文楷体"/>
                <w:b/>
                <w:bCs/>
                <w:sz w:val="24"/>
              </w:rPr>
              <w:t>7</w:t>
            </w:r>
          </w:p>
        </w:tc>
        <w:tc>
          <w:tcPr>
            <w:tcW w:w="1276" w:type="dxa"/>
            <w:vMerge w:val="restart"/>
          </w:tcPr>
          <w:p w14:paraId="7BD455CE">
            <w:pPr>
              <w:spacing w:line="360" w:lineRule="exact"/>
              <w:jc w:val="center"/>
              <w:rPr>
                <w:rFonts w:hint="eastAsia" w:ascii="华文楷体" w:hAnsi="华文楷体" w:eastAsia="华文楷体" w:cs="华文楷体"/>
                <w:b/>
                <w:bCs/>
                <w:sz w:val="24"/>
              </w:rPr>
            </w:pPr>
            <w:r>
              <w:rPr>
                <w:rFonts w:hint="eastAsia" w:ascii="华文楷体" w:hAnsi="华文楷体" w:eastAsia="华文楷体" w:cs="华文楷体"/>
                <w:b/>
                <w:bCs/>
                <w:sz w:val="24"/>
              </w:rPr>
              <w:t>三废排放</w:t>
            </w:r>
          </w:p>
        </w:tc>
        <w:tc>
          <w:tcPr>
            <w:tcW w:w="10348" w:type="dxa"/>
          </w:tcPr>
          <w:p w14:paraId="140993C6">
            <w:pPr>
              <w:spacing w:line="360" w:lineRule="exact"/>
              <w:rPr>
                <w:rFonts w:hint="eastAsia" w:ascii="华文楷体" w:hAnsi="华文楷体" w:eastAsia="华文楷体" w:cs="华文楷体"/>
                <w:sz w:val="24"/>
              </w:rPr>
            </w:pPr>
            <w:r>
              <w:rPr>
                <w:rFonts w:hint="eastAsia" w:ascii="华文楷体" w:hAnsi="华文楷体" w:eastAsia="华文楷体" w:cs="华文楷体"/>
                <w:sz w:val="24"/>
              </w:rPr>
              <w:t>（1）实验废弃物不按照学校规定要求分类收集或混杂废弃物移送至学校收集点的。</w:t>
            </w:r>
          </w:p>
        </w:tc>
        <w:tc>
          <w:tcPr>
            <w:tcW w:w="850" w:type="dxa"/>
            <w:vAlign w:val="center"/>
          </w:tcPr>
          <w:p w14:paraId="470C6472">
            <w:pPr>
              <w:spacing w:line="360" w:lineRule="exact"/>
              <w:jc w:val="center"/>
              <w:rPr>
                <w:rFonts w:hint="eastAsia" w:ascii="华文楷体" w:hAnsi="华文楷体" w:eastAsia="华文楷体" w:cs="华文楷体"/>
                <w:sz w:val="24"/>
              </w:rPr>
            </w:pPr>
            <w:r>
              <w:rPr>
                <w:rFonts w:hint="eastAsia" w:ascii="华文楷体" w:hAnsi="华文楷体" w:eastAsia="华文楷体" w:cs="华文楷体"/>
                <w:sz w:val="24"/>
              </w:rPr>
              <w:t>3分</w:t>
            </w:r>
          </w:p>
        </w:tc>
        <w:tc>
          <w:tcPr>
            <w:tcW w:w="851" w:type="dxa"/>
          </w:tcPr>
          <w:p w14:paraId="3FD119AC">
            <w:pPr>
              <w:spacing w:line="360" w:lineRule="exact"/>
              <w:jc w:val="center"/>
              <w:rPr>
                <w:rFonts w:hint="eastAsia" w:ascii="华文楷体" w:hAnsi="华文楷体" w:eastAsia="华文楷体" w:cs="华文楷体"/>
                <w:sz w:val="24"/>
              </w:rPr>
            </w:pPr>
          </w:p>
        </w:tc>
      </w:tr>
      <w:tr w14:paraId="49AC0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17" w:type="dxa"/>
            <w:gridSpan w:val="2"/>
            <w:vMerge w:val="continue"/>
          </w:tcPr>
          <w:p w14:paraId="2F27458E">
            <w:pPr>
              <w:spacing w:line="360" w:lineRule="exact"/>
              <w:jc w:val="center"/>
              <w:rPr>
                <w:rFonts w:hint="eastAsia" w:ascii="华文楷体" w:hAnsi="华文楷体" w:eastAsia="华文楷体" w:cs="华文楷体"/>
                <w:sz w:val="24"/>
              </w:rPr>
            </w:pPr>
          </w:p>
        </w:tc>
        <w:tc>
          <w:tcPr>
            <w:tcW w:w="1276" w:type="dxa"/>
            <w:vMerge w:val="continue"/>
          </w:tcPr>
          <w:p w14:paraId="0F047F7D">
            <w:pPr>
              <w:spacing w:line="360" w:lineRule="exact"/>
              <w:jc w:val="center"/>
              <w:rPr>
                <w:rFonts w:hint="eastAsia" w:ascii="华文楷体" w:hAnsi="华文楷体" w:eastAsia="华文楷体" w:cs="华文楷体"/>
                <w:sz w:val="24"/>
              </w:rPr>
            </w:pPr>
          </w:p>
        </w:tc>
        <w:tc>
          <w:tcPr>
            <w:tcW w:w="10348" w:type="dxa"/>
          </w:tcPr>
          <w:p w14:paraId="5020410E">
            <w:pPr>
              <w:spacing w:line="360" w:lineRule="exact"/>
              <w:rPr>
                <w:rFonts w:hint="eastAsia" w:ascii="华文楷体" w:hAnsi="华文楷体" w:eastAsia="华文楷体" w:cs="华文楷体"/>
                <w:sz w:val="24"/>
              </w:rPr>
            </w:pPr>
            <w:r>
              <w:rPr>
                <w:rFonts w:hint="eastAsia" w:ascii="华文楷体" w:hAnsi="华文楷体" w:eastAsia="华文楷体" w:cs="华文楷体"/>
                <w:sz w:val="24"/>
              </w:rPr>
              <w:t>（2）存在实验室废弃物与生活垃圾混放，并作生活垃圾处理的现象。</w:t>
            </w:r>
          </w:p>
        </w:tc>
        <w:tc>
          <w:tcPr>
            <w:tcW w:w="850" w:type="dxa"/>
            <w:vAlign w:val="center"/>
          </w:tcPr>
          <w:p w14:paraId="1692B4E8">
            <w:pPr>
              <w:spacing w:line="360" w:lineRule="exact"/>
              <w:jc w:val="center"/>
              <w:rPr>
                <w:rFonts w:hint="eastAsia" w:ascii="华文楷体" w:hAnsi="华文楷体" w:eastAsia="华文楷体" w:cs="华文楷体"/>
                <w:sz w:val="24"/>
              </w:rPr>
            </w:pPr>
            <w:r>
              <w:rPr>
                <w:rFonts w:ascii="华文楷体" w:hAnsi="华文楷体" w:eastAsia="华文楷体" w:cs="华文楷体"/>
                <w:sz w:val="24"/>
              </w:rPr>
              <w:t>3</w:t>
            </w:r>
            <w:r>
              <w:rPr>
                <w:rFonts w:hint="eastAsia" w:ascii="华文楷体" w:hAnsi="华文楷体" w:eastAsia="华文楷体" w:cs="华文楷体"/>
                <w:sz w:val="24"/>
              </w:rPr>
              <w:t>分</w:t>
            </w:r>
          </w:p>
        </w:tc>
        <w:tc>
          <w:tcPr>
            <w:tcW w:w="851" w:type="dxa"/>
          </w:tcPr>
          <w:p w14:paraId="5E44EEEE">
            <w:pPr>
              <w:spacing w:line="360" w:lineRule="exact"/>
              <w:jc w:val="center"/>
              <w:rPr>
                <w:rFonts w:hint="eastAsia" w:ascii="华文楷体" w:hAnsi="华文楷体" w:eastAsia="华文楷体" w:cs="华文楷体"/>
                <w:sz w:val="24"/>
              </w:rPr>
            </w:pPr>
          </w:p>
        </w:tc>
      </w:tr>
      <w:tr w14:paraId="2C0A8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gridSpan w:val="2"/>
            <w:vMerge w:val="continue"/>
          </w:tcPr>
          <w:p w14:paraId="4D43E2C0">
            <w:pPr>
              <w:spacing w:line="360" w:lineRule="exact"/>
              <w:jc w:val="center"/>
              <w:rPr>
                <w:rFonts w:hint="eastAsia" w:ascii="华文楷体" w:hAnsi="华文楷体" w:eastAsia="华文楷体" w:cs="华文楷体"/>
                <w:sz w:val="24"/>
              </w:rPr>
            </w:pPr>
          </w:p>
        </w:tc>
        <w:tc>
          <w:tcPr>
            <w:tcW w:w="1276" w:type="dxa"/>
            <w:vMerge w:val="continue"/>
          </w:tcPr>
          <w:p w14:paraId="529DBAFA">
            <w:pPr>
              <w:spacing w:line="360" w:lineRule="exact"/>
              <w:jc w:val="center"/>
              <w:rPr>
                <w:rFonts w:hint="eastAsia" w:ascii="华文楷体" w:hAnsi="华文楷体" w:eastAsia="华文楷体" w:cs="华文楷体"/>
                <w:sz w:val="24"/>
              </w:rPr>
            </w:pPr>
          </w:p>
        </w:tc>
        <w:tc>
          <w:tcPr>
            <w:tcW w:w="10348" w:type="dxa"/>
          </w:tcPr>
          <w:p w14:paraId="3B6A9B3B">
            <w:pPr>
              <w:spacing w:before="156" w:beforeLines="50" w:line="240" w:lineRule="exact"/>
              <w:rPr>
                <w:rFonts w:hint="eastAsia" w:ascii="华文楷体" w:hAnsi="华文楷体" w:eastAsia="华文楷体" w:cs="华文楷体"/>
                <w:sz w:val="24"/>
              </w:rPr>
            </w:pPr>
            <w:r>
              <w:rPr>
                <w:rFonts w:hint="eastAsia" w:ascii="华文楷体" w:hAnsi="华文楷体" w:eastAsia="华文楷体" w:cs="华文楷体"/>
                <w:sz w:val="24"/>
              </w:rPr>
              <w:t>（</w:t>
            </w:r>
            <w:r>
              <w:rPr>
                <w:rFonts w:ascii="华文楷体" w:hAnsi="华文楷体" w:eastAsia="华文楷体" w:cs="华文楷体"/>
                <w:sz w:val="24"/>
              </w:rPr>
              <w:t>3）存在向下水道倾倒危险废液现象。</w:t>
            </w:r>
          </w:p>
        </w:tc>
        <w:tc>
          <w:tcPr>
            <w:tcW w:w="850" w:type="dxa"/>
            <w:vAlign w:val="center"/>
          </w:tcPr>
          <w:p w14:paraId="46F53ED3">
            <w:pPr>
              <w:spacing w:line="240" w:lineRule="exact"/>
              <w:jc w:val="center"/>
              <w:rPr>
                <w:rFonts w:hint="eastAsia" w:ascii="华文楷体" w:hAnsi="华文楷体" w:eastAsia="华文楷体" w:cs="华文楷体"/>
                <w:b/>
                <w:sz w:val="24"/>
              </w:rPr>
            </w:pPr>
            <w:r>
              <w:rPr>
                <w:rFonts w:ascii="华文楷体" w:hAnsi="华文楷体" w:eastAsia="华文楷体" w:cs="华文楷体"/>
                <w:b/>
                <w:sz w:val="24"/>
              </w:rPr>
              <w:t>12</w:t>
            </w:r>
            <w:r>
              <w:rPr>
                <w:rFonts w:hint="eastAsia" w:ascii="华文楷体" w:hAnsi="华文楷体" w:eastAsia="华文楷体" w:cs="华文楷体"/>
                <w:b/>
                <w:sz w:val="24"/>
              </w:rPr>
              <w:t>分</w:t>
            </w:r>
          </w:p>
        </w:tc>
        <w:tc>
          <w:tcPr>
            <w:tcW w:w="851" w:type="dxa"/>
          </w:tcPr>
          <w:p w14:paraId="409EAA5E">
            <w:pPr>
              <w:spacing w:line="240" w:lineRule="exact"/>
              <w:jc w:val="center"/>
              <w:rPr>
                <w:rFonts w:hint="eastAsia" w:ascii="华文楷体" w:hAnsi="华文楷体" w:eastAsia="华文楷体" w:cs="华文楷体"/>
                <w:b/>
                <w:sz w:val="24"/>
              </w:rPr>
            </w:pPr>
            <w:r>
              <w:rPr>
                <w:rFonts w:hint="eastAsia" w:ascii="华文楷体" w:hAnsi="华文楷体" w:eastAsia="华文楷体" w:cs="华文楷体"/>
                <w:b/>
                <w:sz w:val="24"/>
              </w:rPr>
              <w:t>封停整治</w:t>
            </w:r>
          </w:p>
        </w:tc>
      </w:tr>
      <w:tr w14:paraId="5F3A9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17" w:type="dxa"/>
            <w:gridSpan w:val="2"/>
            <w:vMerge w:val="continue"/>
          </w:tcPr>
          <w:p w14:paraId="13745772">
            <w:pPr>
              <w:spacing w:line="360" w:lineRule="exact"/>
              <w:jc w:val="center"/>
              <w:rPr>
                <w:rFonts w:hint="eastAsia" w:ascii="华文楷体" w:hAnsi="华文楷体" w:eastAsia="华文楷体" w:cs="华文楷体"/>
                <w:sz w:val="24"/>
              </w:rPr>
            </w:pPr>
          </w:p>
        </w:tc>
        <w:tc>
          <w:tcPr>
            <w:tcW w:w="1276" w:type="dxa"/>
            <w:vMerge w:val="continue"/>
          </w:tcPr>
          <w:p w14:paraId="2BE748A4">
            <w:pPr>
              <w:spacing w:line="360" w:lineRule="exact"/>
              <w:jc w:val="center"/>
              <w:rPr>
                <w:rFonts w:hint="eastAsia" w:ascii="华文楷体" w:hAnsi="华文楷体" w:eastAsia="华文楷体" w:cs="华文楷体"/>
                <w:sz w:val="24"/>
              </w:rPr>
            </w:pPr>
          </w:p>
        </w:tc>
        <w:tc>
          <w:tcPr>
            <w:tcW w:w="10348" w:type="dxa"/>
          </w:tcPr>
          <w:p w14:paraId="34B0DD22">
            <w:pPr>
              <w:spacing w:line="360" w:lineRule="exact"/>
              <w:rPr>
                <w:rFonts w:hint="eastAsia" w:ascii="华文楷体" w:hAnsi="华文楷体" w:eastAsia="华文楷体" w:cs="华文楷体"/>
                <w:sz w:val="24"/>
              </w:rPr>
            </w:pPr>
            <w:r>
              <w:rPr>
                <w:rFonts w:hint="eastAsia" w:ascii="华文楷体" w:hAnsi="华文楷体" w:eastAsia="华文楷体" w:cs="华文楷体"/>
                <w:sz w:val="24"/>
              </w:rPr>
              <w:t>（4）实验室门外随意堆放危险废弃物或将危险废弃物随意丢弃在公共场所的现象。</w:t>
            </w:r>
          </w:p>
        </w:tc>
        <w:tc>
          <w:tcPr>
            <w:tcW w:w="850" w:type="dxa"/>
            <w:vAlign w:val="center"/>
          </w:tcPr>
          <w:p w14:paraId="1D5EA655">
            <w:pPr>
              <w:spacing w:line="360" w:lineRule="exact"/>
              <w:jc w:val="center"/>
              <w:rPr>
                <w:rFonts w:hint="eastAsia" w:ascii="华文楷体" w:hAnsi="华文楷体" w:eastAsia="华文楷体" w:cs="华文楷体"/>
                <w:sz w:val="24"/>
              </w:rPr>
            </w:pPr>
            <w:r>
              <w:rPr>
                <w:rFonts w:hint="eastAsia" w:ascii="华文楷体" w:hAnsi="华文楷体" w:eastAsia="华文楷体" w:cs="华文楷体"/>
                <w:sz w:val="24"/>
              </w:rPr>
              <w:t>8分</w:t>
            </w:r>
          </w:p>
        </w:tc>
        <w:tc>
          <w:tcPr>
            <w:tcW w:w="851" w:type="dxa"/>
          </w:tcPr>
          <w:p w14:paraId="3D9E4F25">
            <w:pPr>
              <w:spacing w:line="360" w:lineRule="exact"/>
              <w:jc w:val="center"/>
              <w:rPr>
                <w:rFonts w:hint="eastAsia" w:ascii="华文楷体" w:hAnsi="华文楷体" w:eastAsia="华文楷体" w:cs="华文楷体"/>
                <w:sz w:val="24"/>
              </w:rPr>
            </w:pPr>
          </w:p>
        </w:tc>
      </w:tr>
      <w:tr w14:paraId="2630D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17" w:type="dxa"/>
            <w:gridSpan w:val="2"/>
            <w:vMerge w:val="continue"/>
          </w:tcPr>
          <w:p w14:paraId="0D7C6014">
            <w:pPr>
              <w:spacing w:line="360" w:lineRule="exact"/>
              <w:jc w:val="center"/>
              <w:rPr>
                <w:rFonts w:hint="eastAsia" w:ascii="华文楷体" w:hAnsi="华文楷体" w:eastAsia="华文楷体" w:cs="华文楷体"/>
                <w:sz w:val="24"/>
              </w:rPr>
            </w:pPr>
          </w:p>
        </w:tc>
        <w:tc>
          <w:tcPr>
            <w:tcW w:w="1276" w:type="dxa"/>
            <w:vMerge w:val="continue"/>
          </w:tcPr>
          <w:p w14:paraId="41E9C000">
            <w:pPr>
              <w:spacing w:line="360" w:lineRule="exact"/>
              <w:jc w:val="center"/>
              <w:rPr>
                <w:rFonts w:hint="eastAsia" w:ascii="华文楷体" w:hAnsi="华文楷体" w:eastAsia="华文楷体" w:cs="华文楷体"/>
                <w:sz w:val="24"/>
              </w:rPr>
            </w:pPr>
          </w:p>
        </w:tc>
        <w:tc>
          <w:tcPr>
            <w:tcW w:w="10348" w:type="dxa"/>
          </w:tcPr>
          <w:p w14:paraId="64CA6569">
            <w:pPr>
              <w:spacing w:line="360" w:lineRule="exact"/>
              <w:rPr>
                <w:rFonts w:hint="eastAsia" w:ascii="华文楷体" w:hAnsi="华文楷体" w:eastAsia="华文楷体" w:cs="华文楷体"/>
                <w:b/>
                <w:sz w:val="24"/>
              </w:rPr>
            </w:pPr>
            <w:r>
              <w:rPr>
                <w:rFonts w:hint="eastAsia" w:ascii="华文楷体" w:hAnsi="华文楷体" w:eastAsia="华文楷体" w:cs="华文楷体"/>
                <w:sz w:val="24"/>
              </w:rPr>
              <w:t>（5）开展涉及有毒有害试剂的实验时，实验室通风未安装有毒有害气体吸收或处理装置（如活性炭、光催化分解、水喷淋等）而随意排放有毒有害、恶臭气体现象。</w:t>
            </w:r>
          </w:p>
        </w:tc>
        <w:tc>
          <w:tcPr>
            <w:tcW w:w="850" w:type="dxa"/>
            <w:vAlign w:val="center"/>
          </w:tcPr>
          <w:p w14:paraId="466ACE01">
            <w:pPr>
              <w:spacing w:line="360" w:lineRule="exact"/>
              <w:jc w:val="center"/>
              <w:rPr>
                <w:rFonts w:hint="eastAsia" w:ascii="华文楷体" w:hAnsi="华文楷体" w:eastAsia="华文楷体" w:cs="华文楷体"/>
                <w:sz w:val="24"/>
              </w:rPr>
            </w:pPr>
            <w:r>
              <w:rPr>
                <w:rFonts w:hint="eastAsia" w:ascii="华文楷体" w:hAnsi="华文楷体" w:eastAsia="华文楷体" w:cs="华文楷体"/>
                <w:sz w:val="24"/>
              </w:rPr>
              <w:t>6分</w:t>
            </w:r>
          </w:p>
        </w:tc>
        <w:tc>
          <w:tcPr>
            <w:tcW w:w="851" w:type="dxa"/>
          </w:tcPr>
          <w:p w14:paraId="72AFE986">
            <w:pPr>
              <w:spacing w:line="360" w:lineRule="exact"/>
              <w:jc w:val="center"/>
              <w:rPr>
                <w:rFonts w:hint="eastAsia" w:ascii="华文楷体" w:hAnsi="华文楷体" w:eastAsia="华文楷体" w:cs="华文楷体"/>
                <w:sz w:val="24"/>
              </w:rPr>
            </w:pPr>
          </w:p>
        </w:tc>
      </w:tr>
      <w:tr w14:paraId="795B9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17" w:type="dxa"/>
            <w:gridSpan w:val="2"/>
            <w:vMerge w:val="continue"/>
          </w:tcPr>
          <w:p w14:paraId="1B6471F5">
            <w:pPr>
              <w:spacing w:line="360" w:lineRule="exact"/>
              <w:jc w:val="center"/>
              <w:rPr>
                <w:rFonts w:hint="eastAsia" w:ascii="华文楷体" w:hAnsi="华文楷体" w:eastAsia="华文楷体" w:cs="华文楷体"/>
                <w:sz w:val="24"/>
              </w:rPr>
            </w:pPr>
          </w:p>
        </w:tc>
        <w:tc>
          <w:tcPr>
            <w:tcW w:w="1276" w:type="dxa"/>
            <w:vMerge w:val="continue"/>
          </w:tcPr>
          <w:p w14:paraId="0E16C513">
            <w:pPr>
              <w:spacing w:line="360" w:lineRule="exact"/>
              <w:jc w:val="center"/>
              <w:rPr>
                <w:rFonts w:hint="eastAsia" w:ascii="华文楷体" w:hAnsi="华文楷体" w:eastAsia="华文楷体" w:cs="华文楷体"/>
                <w:sz w:val="24"/>
              </w:rPr>
            </w:pPr>
          </w:p>
        </w:tc>
        <w:tc>
          <w:tcPr>
            <w:tcW w:w="10348" w:type="dxa"/>
          </w:tcPr>
          <w:p w14:paraId="412AD9EB">
            <w:pPr>
              <w:spacing w:line="360" w:lineRule="exact"/>
              <w:rPr>
                <w:rFonts w:hint="eastAsia" w:ascii="华文楷体" w:hAnsi="华文楷体" w:eastAsia="华文楷体" w:cs="华文楷体"/>
                <w:sz w:val="24"/>
              </w:rPr>
            </w:pPr>
            <w:r>
              <w:rPr>
                <w:rFonts w:hint="eastAsia" w:ascii="华文楷体" w:hAnsi="华文楷体" w:eastAsia="华文楷体" w:cs="华文楷体"/>
                <w:sz w:val="24"/>
              </w:rPr>
              <w:t>（6）擅自转移或偷运实验室危险废弃物现象。</w:t>
            </w:r>
          </w:p>
        </w:tc>
        <w:tc>
          <w:tcPr>
            <w:tcW w:w="850" w:type="dxa"/>
            <w:vAlign w:val="center"/>
          </w:tcPr>
          <w:p w14:paraId="1B60DDBD">
            <w:pPr>
              <w:spacing w:line="360" w:lineRule="exact"/>
              <w:jc w:val="center"/>
              <w:rPr>
                <w:rFonts w:hint="eastAsia" w:ascii="华文楷体" w:hAnsi="华文楷体" w:eastAsia="华文楷体" w:cs="华文楷体"/>
                <w:sz w:val="24"/>
              </w:rPr>
            </w:pPr>
            <w:r>
              <w:rPr>
                <w:rFonts w:hint="eastAsia" w:ascii="华文楷体" w:hAnsi="华文楷体" w:eastAsia="华文楷体" w:cs="华文楷体"/>
                <w:sz w:val="24"/>
              </w:rPr>
              <w:t>6分</w:t>
            </w:r>
          </w:p>
        </w:tc>
        <w:tc>
          <w:tcPr>
            <w:tcW w:w="851" w:type="dxa"/>
          </w:tcPr>
          <w:p w14:paraId="2ED5F2C7">
            <w:pPr>
              <w:spacing w:line="360" w:lineRule="exact"/>
              <w:jc w:val="center"/>
              <w:rPr>
                <w:rFonts w:hint="eastAsia" w:ascii="华文楷体" w:hAnsi="华文楷体" w:eastAsia="华文楷体" w:cs="华文楷体"/>
                <w:sz w:val="24"/>
              </w:rPr>
            </w:pPr>
          </w:p>
        </w:tc>
      </w:tr>
      <w:tr w14:paraId="0958A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17" w:type="dxa"/>
            <w:gridSpan w:val="2"/>
            <w:vMerge w:val="restart"/>
          </w:tcPr>
          <w:p w14:paraId="05498D24">
            <w:pPr>
              <w:spacing w:line="360" w:lineRule="exact"/>
              <w:jc w:val="center"/>
              <w:rPr>
                <w:rFonts w:hint="eastAsia" w:ascii="华文楷体" w:hAnsi="华文楷体" w:eastAsia="华文楷体" w:cs="华文楷体"/>
                <w:b/>
                <w:bCs/>
                <w:sz w:val="24"/>
              </w:rPr>
            </w:pPr>
          </w:p>
          <w:p w14:paraId="1A2B7007">
            <w:pPr>
              <w:spacing w:line="360" w:lineRule="exact"/>
              <w:jc w:val="center"/>
              <w:rPr>
                <w:rFonts w:hint="eastAsia" w:ascii="华文楷体" w:hAnsi="华文楷体" w:eastAsia="华文楷体" w:cs="华文楷体"/>
                <w:b/>
                <w:bCs/>
                <w:sz w:val="24"/>
              </w:rPr>
            </w:pPr>
          </w:p>
          <w:p w14:paraId="7D611760">
            <w:pPr>
              <w:spacing w:line="360" w:lineRule="exact"/>
              <w:jc w:val="center"/>
              <w:rPr>
                <w:rFonts w:hint="eastAsia" w:ascii="华文楷体" w:hAnsi="华文楷体" w:eastAsia="华文楷体" w:cs="华文楷体"/>
                <w:b/>
                <w:bCs/>
                <w:sz w:val="24"/>
              </w:rPr>
            </w:pPr>
            <w:r>
              <w:rPr>
                <w:rFonts w:hint="eastAsia" w:ascii="华文楷体" w:hAnsi="华文楷体" w:eastAsia="华文楷体" w:cs="华文楷体"/>
                <w:b/>
                <w:bCs/>
                <w:sz w:val="24"/>
              </w:rPr>
              <w:t>8</w:t>
            </w:r>
          </w:p>
        </w:tc>
        <w:tc>
          <w:tcPr>
            <w:tcW w:w="1276" w:type="dxa"/>
            <w:vMerge w:val="restart"/>
          </w:tcPr>
          <w:p w14:paraId="2167708D">
            <w:pPr>
              <w:spacing w:line="360" w:lineRule="exact"/>
              <w:jc w:val="center"/>
              <w:rPr>
                <w:rFonts w:hint="eastAsia" w:ascii="华文楷体" w:hAnsi="华文楷体" w:eastAsia="华文楷体" w:cs="华文楷体"/>
                <w:b/>
                <w:bCs/>
                <w:sz w:val="24"/>
              </w:rPr>
            </w:pPr>
          </w:p>
          <w:p w14:paraId="43872138">
            <w:pPr>
              <w:spacing w:line="360" w:lineRule="exact"/>
              <w:jc w:val="center"/>
              <w:rPr>
                <w:rFonts w:hint="eastAsia" w:ascii="华文楷体" w:hAnsi="华文楷体" w:eastAsia="华文楷体" w:cs="华文楷体"/>
                <w:b/>
                <w:bCs/>
                <w:sz w:val="24"/>
              </w:rPr>
            </w:pPr>
          </w:p>
          <w:p w14:paraId="3A705207">
            <w:pPr>
              <w:spacing w:line="360" w:lineRule="exact"/>
              <w:jc w:val="center"/>
              <w:rPr>
                <w:rFonts w:hint="eastAsia" w:ascii="华文楷体" w:hAnsi="华文楷体" w:eastAsia="华文楷体" w:cs="华文楷体"/>
                <w:b/>
                <w:bCs/>
                <w:sz w:val="24"/>
              </w:rPr>
            </w:pPr>
            <w:r>
              <w:rPr>
                <w:rFonts w:hint="eastAsia" w:ascii="华文楷体" w:hAnsi="华文楷体" w:eastAsia="华文楷体" w:cs="华文楷体"/>
                <w:b/>
                <w:bCs/>
                <w:sz w:val="24"/>
              </w:rPr>
              <w:t>冰箱管理</w:t>
            </w:r>
          </w:p>
        </w:tc>
        <w:tc>
          <w:tcPr>
            <w:tcW w:w="10348" w:type="dxa"/>
          </w:tcPr>
          <w:p w14:paraId="76B683F3">
            <w:pPr>
              <w:spacing w:line="360" w:lineRule="exact"/>
              <w:rPr>
                <w:rFonts w:hint="eastAsia" w:ascii="华文楷体" w:hAnsi="华文楷体" w:eastAsia="华文楷体" w:cs="华文楷体"/>
                <w:sz w:val="24"/>
              </w:rPr>
            </w:pPr>
            <w:r>
              <w:rPr>
                <w:rFonts w:hint="eastAsia" w:ascii="华文楷体" w:hAnsi="华文楷体" w:eastAsia="华文楷体" w:cs="华文楷体"/>
                <w:sz w:val="24"/>
              </w:rPr>
              <w:t>（1）使用普通冰箱贮存危险化学品（特别易燃易爆等试剂）。</w:t>
            </w:r>
          </w:p>
        </w:tc>
        <w:tc>
          <w:tcPr>
            <w:tcW w:w="850" w:type="dxa"/>
            <w:vAlign w:val="center"/>
          </w:tcPr>
          <w:p w14:paraId="36AD1852">
            <w:pPr>
              <w:spacing w:line="240" w:lineRule="exact"/>
              <w:jc w:val="center"/>
              <w:rPr>
                <w:rFonts w:hint="eastAsia" w:ascii="华文楷体" w:hAnsi="华文楷体" w:eastAsia="华文楷体" w:cs="华文楷体"/>
                <w:b/>
                <w:sz w:val="24"/>
              </w:rPr>
            </w:pPr>
            <w:r>
              <w:rPr>
                <w:rFonts w:ascii="华文楷体" w:hAnsi="华文楷体" w:eastAsia="华文楷体" w:cs="华文楷体"/>
                <w:b/>
                <w:sz w:val="24"/>
              </w:rPr>
              <w:t>12分</w:t>
            </w:r>
          </w:p>
        </w:tc>
        <w:tc>
          <w:tcPr>
            <w:tcW w:w="851" w:type="dxa"/>
          </w:tcPr>
          <w:p w14:paraId="08E3EDA4">
            <w:pPr>
              <w:spacing w:line="240" w:lineRule="exact"/>
              <w:jc w:val="center"/>
              <w:rPr>
                <w:rFonts w:hint="eastAsia" w:ascii="华文楷体" w:hAnsi="华文楷体" w:eastAsia="华文楷体" w:cs="华文楷体"/>
                <w:b/>
                <w:sz w:val="24"/>
              </w:rPr>
            </w:pPr>
            <w:r>
              <w:rPr>
                <w:rFonts w:hint="eastAsia" w:ascii="华文楷体" w:hAnsi="华文楷体" w:eastAsia="华文楷体" w:cs="华文楷体"/>
                <w:b/>
                <w:sz w:val="24"/>
              </w:rPr>
              <w:t>封停整治</w:t>
            </w:r>
          </w:p>
        </w:tc>
      </w:tr>
      <w:tr w14:paraId="762A2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17" w:type="dxa"/>
            <w:gridSpan w:val="2"/>
            <w:vMerge w:val="continue"/>
          </w:tcPr>
          <w:p w14:paraId="07734BE8">
            <w:pPr>
              <w:spacing w:line="360" w:lineRule="exact"/>
              <w:jc w:val="center"/>
              <w:rPr>
                <w:rFonts w:hint="eastAsia" w:ascii="华文楷体" w:hAnsi="华文楷体" w:eastAsia="华文楷体" w:cs="华文楷体"/>
                <w:sz w:val="24"/>
              </w:rPr>
            </w:pPr>
          </w:p>
        </w:tc>
        <w:tc>
          <w:tcPr>
            <w:tcW w:w="1276" w:type="dxa"/>
            <w:vMerge w:val="continue"/>
          </w:tcPr>
          <w:p w14:paraId="2A5B9999">
            <w:pPr>
              <w:spacing w:line="360" w:lineRule="exact"/>
              <w:jc w:val="center"/>
              <w:rPr>
                <w:rFonts w:hint="eastAsia" w:ascii="华文楷体" w:hAnsi="华文楷体" w:eastAsia="华文楷体" w:cs="华文楷体"/>
                <w:sz w:val="24"/>
              </w:rPr>
            </w:pPr>
          </w:p>
        </w:tc>
        <w:tc>
          <w:tcPr>
            <w:tcW w:w="10348" w:type="dxa"/>
          </w:tcPr>
          <w:p w14:paraId="2EE4F0E5">
            <w:pPr>
              <w:spacing w:line="360" w:lineRule="exact"/>
              <w:rPr>
                <w:rFonts w:hint="eastAsia" w:ascii="华文楷体" w:hAnsi="华文楷体" w:eastAsia="华文楷体" w:cs="华文楷体"/>
              </w:rPr>
            </w:pPr>
            <w:r>
              <w:rPr>
                <w:rFonts w:hint="eastAsia" w:ascii="华文楷体" w:hAnsi="华文楷体" w:eastAsia="华文楷体" w:cs="华文楷体"/>
              </w:rPr>
              <w:t>（2）</w:t>
            </w:r>
            <w:r>
              <w:rPr>
                <w:rFonts w:hint="eastAsia" w:ascii="华文楷体" w:hAnsi="华文楷体" w:eastAsia="华文楷体" w:cs="华文楷体"/>
                <w:sz w:val="24"/>
              </w:rPr>
              <w:t>冰箱内存放的物品无明确标识（包括品名、使用人、日期等）或试剂瓶不密封甚至敞开或放置非科研用食品。</w:t>
            </w:r>
          </w:p>
        </w:tc>
        <w:tc>
          <w:tcPr>
            <w:tcW w:w="850" w:type="dxa"/>
            <w:vAlign w:val="center"/>
          </w:tcPr>
          <w:p w14:paraId="7B0A0A16">
            <w:pPr>
              <w:spacing w:line="360" w:lineRule="exact"/>
              <w:jc w:val="center"/>
              <w:rPr>
                <w:rFonts w:hint="eastAsia" w:ascii="华文楷体" w:hAnsi="华文楷体" w:eastAsia="华文楷体" w:cs="华文楷体"/>
                <w:sz w:val="24"/>
              </w:rPr>
            </w:pPr>
            <w:r>
              <w:rPr>
                <w:rFonts w:hint="eastAsia" w:ascii="华文楷体" w:hAnsi="华文楷体" w:eastAsia="华文楷体" w:cs="华文楷体"/>
                <w:sz w:val="24"/>
              </w:rPr>
              <w:t>3分</w:t>
            </w:r>
          </w:p>
        </w:tc>
        <w:tc>
          <w:tcPr>
            <w:tcW w:w="851" w:type="dxa"/>
          </w:tcPr>
          <w:p w14:paraId="34D56CB5">
            <w:pPr>
              <w:spacing w:line="360" w:lineRule="exact"/>
              <w:jc w:val="center"/>
              <w:rPr>
                <w:rFonts w:hint="eastAsia" w:ascii="华文楷体" w:hAnsi="华文楷体" w:eastAsia="华文楷体" w:cs="华文楷体"/>
                <w:sz w:val="24"/>
              </w:rPr>
            </w:pPr>
          </w:p>
        </w:tc>
      </w:tr>
      <w:tr w14:paraId="16FD6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17" w:type="dxa"/>
            <w:gridSpan w:val="2"/>
            <w:vMerge w:val="continue"/>
          </w:tcPr>
          <w:p w14:paraId="16E54D70">
            <w:pPr>
              <w:spacing w:line="360" w:lineRule="exact"/>
              <w:jc w:val="center"/>
              <w:rPr>
                <w:rFonts w:hint="eastAsia" w:ascii="华文楷体" w:hAnsi="华文楷体" w:eastAsia="华文楷体" w:cs="华文楷体"/>
                <w:sz w:val="24"/>
              </w:rPr>
            </w:pPr>
          </w:p>
        </w:tc>
        <w:tc>
          <w:tcPr>
            <w:tcW w:w="1276" w:type="dxa"/>
            <w:vMerge w:val="continue"/>
          </w:tcPr>
          <w:p w14:paraId="7DDDC4EA">
            <w:pPr>
              <w:spacing w:line="360" w:lineRule="exact"/>
              <w:jc w:val="center"/>
              <w:rPr>
                <w:rFonts w:hint="eastAsia" w:ascii="华文楷体" w:hAnsi="华文楷体" w:eastAsia="华文楷体" w:cs="华文楷体"/>
                <w:sz w:val="24"/>
              </w:rPr>
            </w:pPr>
          </w:p>
        </w:tc>
        <w:tc>
          <w:tcPr>
            <w:tcW w:w="10348" w:type="dxa"/>
          </w:tcPr>
          <w:p w14:paraId="1542131F">
            <w:pPr>
              <w:spacing w:line="360" w:lineRule="exact"/>
              <w:rPr>
                <w:rFonts w:hint="eastAsia" w:ascii="华文楷体" w:hAnsi="华文楷体" w:eastAsia="华文楷体" w:cs="华文楷体"/>
                <w:b/>
                <w:sz w:val="24"/>
              </w:rPr>
            </w:pPr>
            <w:r>
              <w:rPr>
                <w:rFonts w:hint="eastAsia" w:ascii="华文楷体" w:hAnsi="华文楷体" w:eastAsia="华文楷体" w:cs="华文楷体"/>
                <w:sz w:val="24"/>
              </w:rPr>
              <w:t>（3）存在冰箱超期服役现象（一般使用年限控制为10年）。（需要继续使用者须向学院学校报备，并签订责任承诺书）</w:t>
            </w:r>
          </w:p>
        </w:tc>
        <w:tc>
          <w:tcPr>
            <w:tcW w:w="850" w:type="dxa"/>
            <w:vAlign w:val="center"/>
          </w:tcPr>
          <w:p w14:paraId="20151C41">
            <w:pPr>
              <w:spacing w:line="360" w:lineRule="exact"/>
              <w:jc w:val="center"/>
              <w:rPr>
                <w:rFonts w:eastAsia="华文楷体"/>
                <w:sz w:val="24"/>
              </w:rPr>
            </w:pPr>
            <w:r>
              <w:rPr>
                <w:rFonts w:hint="eastAsia" w:eastAsia="华文楷体"/>
                <w:sz w:val="24"/>
              </w:rPr>
              <w:t>6</w:t>
            </w:r>
            <w:r>
              <w:rPr>
                <w:rFonts w:eastAsia="华文楷体"/>
                <w:sz w:val="24"/>
              </w:rPr>
              <w:t>分</w:t>
            </w:r>
          </w:p>
        </w:tc>
        <w:tc>
          <w:tcPr>
            <w:tcW w:w="851" w:type="dxa"/>
          </w:tcPr>
          <w:p w14:paraId="58876689">
            <w:pPr>
              <w:spacing w:line="360" w:lineRule="exact"/>
              <w:jc w:val="center"/>
              <w:rPr>
                <w:rFonts w:hint="eastAsia" w:ascii="华文楷体" w:hAnsi="华文楷体" w:eastAsia="华文楷体" w:cs="华文楷体"/>
                <w:sz w:val="24"/>
              </w:rPr>
            </w:pPr>
          </w:p>
        </w:tc>
      </w:tr>
      <w:tr w14:paraId="43B43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17" w:type="dxa"/>
            <w:gridSpan w:val="2"/>
            <w:vMerge w:val="restart"/>
          </w:tcPr>
          <w:p w14:paraId="493A84EF">
            <w:pPr>
              <w:spacing w:line="360" w:lineRule="exact"/>
              <w:jc w:val="center"/>
              <w:rPr>
                <w:rFonts w:hint="eastAsia" w:ascii="华文楷体" w:hAnsi="华文楷体" w:eastAsia="华文楷体" w:cs="华文楷体"/>
                <w:b/>
                <w:bCs/>
                <w:sz w:val="24"/>
              </w:rPr>
            </w:pPr>
          </w:p>
          <w:p w14:paraId="28987D61">
            <w:pPr>
              <w:spacing w:line="360" w:lineRule="exact"/>
              <w:jc w:val="center"/>
              <w:rPr>
                <w:rFonts w:hint="eastAsia" w:ascii="华文楷体" w:hAnsi="华文楷体" w:eastAsia="华文楷体" w:cs="华文楷体"/>
                <w:b/>
                <w:bCs/>
                <w:sz w:val="24"/>
              </w:rPr>
            </w:pPr>
          </w:p>
          <w:p w14:paraId="1D07D30A">
            <w:pPr>
              <w:spacing w:line="360" w:lineRule="exact"/>
              <w:jc w:val="center"/>
              <w:rPr>
                <w:rFonts w:hint="eastAsia" w:ascii="华文楷体" w:hAnsi="华文楷体" w:eastAsia="华文楷体" w:cs="华文楷体"/>
                <w:b/>
                <w:bCs/>
                <w:sz w:val="24"/>
              </w:rPr>
            </w:pPr>
            <w:r>
              <w:rPr>
                <w:rFonts w:hint="eastAsia" w:ascii="华文楷体" w:hAnsi="华文楷体" w:eastAsia="华文楷体" w:cs="华文楷体"/>
                <w:b/>
                <w:bCs/>
                <w:sz w:val="24"/>
              </w:rPr>
              <w:t>9</w:t>
            </w:r>
          </w:p>
        </w:tc>
        <w:tc>
          <w:tcPr>
            <w:tcW w:w="1276" w:type="dxa"/>
            <w:vMerge w:val="restart"/>
          </w:tcPr>
          <w:p w14:paraId="3CADC734">
            <w:pPr>
              <w:spacing w:line="360" w:lineRule="exact"/>
              <w:jc w:val="center"/>
              <w:rPr>
                <w:rFonts w:hint="eastAsia" w:ascii="华文楷体" w:hAnsi="华文楷体" w:eastAsia="华文楷体" w:cs="华文楷体"/>
                <w:b/>
                <w:bCs/>
                <w:sz w:val="24"/>
              </w:rPr>
            </w:pPr>
          </w:p>
          <w:p w14:paraId="5853A3AC">
            <w:pPr>
              <w:spacing w:line="360" w:lineRule="exact"/>
              <w:jc w:val="center"/>
              <w:rPr>
                <w:rFonts w:hint="eastAsia" w:ascii="华文楷体" w:hAnsi="华文楷体" w:eastAsia="华文楷体" w:cs="华文楷体"/>
                <w:b/>
                <w:bCs/>
                <w:sz w:val="24"/>
              </w:rPr>
            </w:pPr>
          </w:p>
          <w:p w14:paraId="51B3C927">
            <w:pPr>
              <w:spacing w:line="360" w:lineRule="exact"/>
              <w:jc w:val="center"/>
              <w:rPr>
                <w:rFonts w:hint="eastAsia" w:ascii="华文楷体" w:hAnsi="华文楷体" w:eastAsia="华文楷体" w:cs="华文楷体"/>
                <w:b/>
                <w:bCs/>
                <w:sz w:val="24"/>
              </w:rPr>
            </w:pPr>
            <w:r>
              <w:rPr>
                <w:rFonts w:hint="eastAsia" w:ascii="华文楷体" w:hAnsi="华文楷体" w:eastAsia="华文楷体" w:cs="华文楷体"/>
                <w:b/>
                <w:bCs/>
                <w:sz w:val="24"/>
              </w:rPr>
              <w:t>气体钢瓶</w:t>
            </w:r>
          </w:p>
          <w:p w14:paraId="43E63E88">
            <w:pPr>
              <w:spacing w:line="360" w:lineRule="exact"/>
              <w:jc w:val="center"/>
              <w:rPr>
                <w:rFonts w:hint="eastAsia" w:ascii="华文楷体" w:hAnsi="华文楷体" w:eastAsia="华文楷体" w:cs="华文楷体"/>
                <w:b/>
                <w:bCs/>
                <w:sz w:val="24"/>
              </w:rPr>
            </w:pPr>
          </w:p>
        </w:tc>
        <w:tc>
          <w:tcPr>
            <w:tcW w:w="10348" w:type="dxa"/>
          </w:tcPr>
          <w:p w14:paraId="5DCCAEC7">
            <w:pPr>
              <w:spacing w:line="360" w:lineRule="exact"/>
              <w:rPr>
                <w:rFonts w:hint="eastAsia" w:ascii="华文楷体" w:hAnsi="华文楷体" w:eastAsia="华文楷体" w:cs="华文楷体"/>
                <w:sz w:val="24"/>
              </w:rPr>
            </w:pPr>
            <w:r>
              <w:rPr>
                <w:rFonts w:hint="eastAsia" w:ascii="华文楷体" w:hAnsi="华文楷体" w:eastAsia="华文楷体" w:cs="华文楷体"/>
                <w:sz w:val="24"/>
              </w:rPr>
              <w:t>（1）存在气体钢瓶未固定现象，或靠近配电箱、插座、烘箱等热源。</w:t>
            </w:r>
          </w:p>
        </w:tc>
        <w:tc>
          <w:tcPr>
            <w:tcW w:w="850" w:type="dxa"/>
            <w:vAlign w:val="center"/>
          </w:tcPr>
          <w:p w14:paraId="752D1A47">
            <w:pPr>
              <w:spacing w:line="360" w:lineRule="exact"/>
              <w:jc w:val="center"/>
              <w:rPr>
                <w:rFonts w:eastAsia="华文楷体"/>
                <w:sz w:val="24"/>
              </w:rPr>
            </w:pPr>
            <w:r>
              <w:rPr>
                <w:rFonts w:hint="eastAsia" w:eastAsia="华文楷体"/>
                <w:sz w:val="24"/>
              </w:rPr>
              <w:t>4</w:t>
            </w:r>
            <w:r>
              <w:rPr>
                <w:rFonts w:eastAsia="华文楷体"/>
                <w:sz w:val="24"/>
              </w:rPr>
              <w:t>分</w:t>
            </w:r>
          </w:p>
        </w:tc>
        <w:tc>
          <w:tcPr>
            <w:tcW w:w="851" w:type="dxa"/>
          </w:tcPr>
          <w:p w14:paraId="448EF898">
            <w:pPr>
              <w:spacing w:line="360" w:lineRule="exact"/>
              <w:jc w:val="center"/>
              <w:rPr>
                <w:rFonts w:hint="eastAsia" w:ascii="华文楷体" w:hAnsi="华文楷体" w:eastAsia="华文楷体" w:cs="华文楷体"/>
                <w:sz w:val="24"/>
              </w:rPr>
            </w:pPr>
          </w:p>
        </w:tc>
      </w:tr>
      <w:tr w14:paraId="51E35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17" w:type="dxa"/>
            <w:gridSpan w:val="2"/>
            <w:vMerge w:val="continue"/>
          </w:tcPr>
          <w:p w14:paraId="71F73A13">
            <w:pPr>
              <w:spacing w:line="360" w:lineRule="exact"/>
              <w:jc w:val="center"/>
              <w:rPr>
                <w:rFonts w:hint="eastAsia" w:ascii="华文楷体" w:hAnsi="华文楷体" w:eastAsia="华文楷体" w:cs="华文楷体"/>
                <w:sz w:val="24"/>
              </w:rPr>
            </w:pPr>
          </w:p>
        </w:tc>
        <w:tc>
          <w:tcPr>
            <w:tcW w:w="1276" w:type="dxa"/>
            <w:vMerge w:val="continue"/>
          </w:tcPr>
          <w:p w14:paraId="1B2B0499">
            <w:pPr>
              <w:spacing w:line="360" w:lineRule="exact"/>
              <w:jc w:val="center"/>
              <w:rPr>
                <w:rFonts w:hint="eastAsia" w:ascii="华文楷体" w:hAnsi="华文楷体" w:eastAsia="华文楷体" w:cs="华文楷体"/>
                <w:sz w:val="24"/>
              </w:rPr>
            </w:pPr>
          </w:p>
        </w:tc>
        <w:tc>
          <w:tcPr>
            <w:tcW w:w="10348" w:type="dxa"/>
          </w:tcPr>
          <w:p w14:paraId="32E08E9E">
            <w:pPr>
              <w:spacing w:line="360" w:lineRule="exact"/>
              <w:rPr>
                <w:rFonts w:hint="eastAsia" w:ascii="华文楷体" w:hAnsi="华文楷体" w:eastAsia="华文楷体" w:cs="华文楷体"/>
                <w:sz w:val="24"/>
              </w:rPr>
            </w:pPr>
            <w:r>
              <w:rPr>
                <w:rFonts w:hint="eastAsia" w:ascii="华文楷体" w:hAnsi="华文楷体" w:eastAsia="华文楷体" w:cs="华文楷体"/>
                <w:sz w:val="24"/>
              </w:rPr>
              <w:t>（2）实验室内存放过期废弃钢瓶。</w:t>
            </w:r>
          </w:p>
        </w:tc>
        <w:tc>
          <w:tcPr>
            <w:tcW w:w="850" w:type="dxa"/>
            <w:vAlign w:val="center"/>
          </w:tcPr>
          <w:p w14:paraId="536086AD">
            <w:pPr>
              <w:spacing w:line="360" w:lineRule="exact"/>
              <w:jc w:val="center"/>
              <w:rPr>
                <w:rFonts w:eastAsia="华文楷体"/>
                <w:sz w:val="24"/>
              </w:rPr>
            </w:pPr>
            <w:r>
              <w:rPr>
                <w:rFonts w:hint="eastAsia" w:eastAsia="华文楷体"/>
                <w:sz w:val="24"/>
              </w:rPr>
              <w:t>2</w:t>
            </w:r>
            <w:r>
              <w:rPr>
                <w:rFonts w:eastAsia="华文楷体"/>
                <w:sz w:val="24"/>
              </w:rPr>
              <w:t>分</w:t>
            </w:r>
          </w:p>
        </w:tc>
        <w:tc>
          <w:tcPr>
            <w:tcW w:w="851" w:type="dxa"/>
          </w:tcPr>
          <w:p w14:paraId="5296217B">
            <w:pPr>
              <w:spacing w:line="360" w:lineRule="exact"/>
              <w:jc w:val="center"/>
              <w:rPr>
                <w:rFonts w:hint="eastAsia" w:ascii="华文楷体" w:hAnsi="华文楷体" w:eastAsia="华文楷体" w:cs="华文楷体"/>
                <w:sz w:val="24"/>
              </w:rPr>
            </w:pPr>
          </w:p>
        </w:tc>
      </w:tr>
      <w:tr w14:paraId="5D448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17" w:type="dxa"/>
            <w:gridSpan w:val="2"/>
            <w:vMerge w:val="continue"/>
          </w:tcPr>
          <w:p w14:paraId="30CA4A7E">
            <w:pPr>
              <w:spacing w:line="360" w:lineRule="exact"/>
              <w:jc w:val="center"/>
              <w:rPr>
                <w:rFonts w:hint="eastAsia" w:ascii="华文楷体" w:hAnsi="华文楷体" w:eastAsia="华文楷体" w:cs="华文楷体"/>
                <w:sz w:val="24"/>
              </w:rPr>
            </w:pPr>
          </w:p>
        </w:tc>
        <w:tc>
          <w:tcPr>
            <w:tcW w:w="1276" w:type="dxa"/>
            <w:vMerge w:val="continue"/>
          </w:tcPr>
          <w:p w14:paraId="017865DA">
            <w:pPr>
              <w:spacing w:line="360" w:lineRule="exact"/>
              <w:jc w:val="center"/>
              <w:rPr>
                <w:rFonts w:hint="eastAsia" w:ascii="华文楷体" w:hAnsi="华文楷体" w:eastAsia="华文楷体" w:cs="华文楷体"/>
                <w:sz w:val="24"/>
              </w:rPr>
            </w:pPr>
          </w:p>
        </w:tc>
        <w:tc>
          <w:tcPr>
            <w:tcW w:w="10348" w:type="dxa"/>
          </w:tcPr>
          <w:p w14:paraId="0FB4EBC5">
            <w:pPr>
              <w:spacing w:line="360" w:lineRule="exact"/>
              <w:rPr>
                <w:rFonts w:hint="eastAsia" w:ascii="华文楷体" w:hAnsi="华文楷体" w:eastAsia="华文楷体" w:cs="华文楷体"/>
              </w:rPr>
            </w:pPr>
            <w:r>
              <w:rPr>
                <w:rFonts w:hint="eastAsia" w:ascii="华文楷体" w:hAnsi="华文楷体" w:eastAsia="华文楷体" w:cs="华文楷体"/>
                <w:sz w:val="24"/>
              </w:rPr>
              <w:t>（3）存在氧气钢瓶等助燃性气体与可燃性气体混放现象。</w:t>
            </w:r>
          </w:p>
        </w:tc>
        <w:tc>
          <w:tcPr>
            <w:tcW w:w="850" w:type="dxa"/>
            <w:vAlign w:val="center"/>
          </w:tcPr>
          <w:p w14:paraId="38713BE9">
            <w:pPr>
              <w:spacing w:line="360" w:lineRule="exact"/>
              <w:jc w:val="center"/>
              <w:rPr>
                <w:rFonts w:hint="eastAsia" w:ascii="华文楷体" w:hAnsi="华文楷体" w:eastAsia="华文楷体" w:cs="华文楷体"/>
                <w:sz w:val="24"/>
              </w:rPr>
            </w:pPr>
            <w:r>
              <w:rPr>
                <w:rFonts w:ascii="华文楷体" w:hAnsi="华文楷体" w:eastAsia="华文楷体" w:cs="华文楷体"/>
                <w:bCs/>
                <w:sz w:val="24"/>
              </w:rPr>
              <w:t>6分</w:t>
            </w:r>
          </w:p>
        </w:tc>
        <w:tc>
          <w:tcPr>
            <w:tcW w:w="851" w:type="dxa"/>
          </w:tcPr>
          <w:p w14:paraId="55F9B910">
            <w:pPr>
              <w:spacing w:line="360" w:lineRule="exact"/>
              <w:jc w:val="center"/>
              <w:rPr>
                <w:rFonts w:hint="eastAsia" w:ascii="华文楷体" w:hAnsi="华文楷体" w:eastAsia="华文楷体" w:cs="华文楷体"/>
                <w:sz w:val="24"/>
              </w:rPr>
            </w:pPr>
          </w:p>
        </w:tc>
      </w:tr>
      <w:tr w14:paraId="193CE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17" w:type="dxa"/>
            <w:gridSpan w:val="2"/>
            <w:vMerge w:val="continue"/>
          </w:tcPr>
          <w:p w14:paraId="5D25E28D">
            <w:pPr>
              <w:spacing w:line="360" w:lineRule="exact"/>
              <w:jc w:val="center"/>
              <w:rPr>
                <w:rFonts w:hint="eastAsia" w:ascii="华文楷体" w:hAnsi="华文楷体" w:eastAsia="华文楷体" w:cs="华文楷体"/>
                <w:sz w:val="24"/>
              </w:rPr>
            </w:pPr>
          </w:p>
        </w:tc>
        <w:tc>
          <w:tcPr>
            <w:tcW w:w="1276" w:type="dxa"/>
            <w:vMerge w:val="continue"/>
          </w:tcPr>
          <w:p w14:paraId="2B94ABF6">
            <w:pPr>
              <w:spacing w:line="360" w:lineRule="exact"/>
              <w:jc w:val="center"/>
              <w:rPr>
                <w:rFonts w:hint="eastAsia" w:ascii="华文楷体" w:hAnsi="华文楷体" w:eastAsia="华文楷体" w:cs="华文楷体"/>
                <w:sz w:val="24"/>
              </w:rPr>
            </w:pPr>
          </w:p>
        </w:tc>
        <w:tc>
          <w:tcPr>
            <w:tcW w:w="10348" w:type="dxa"/>
          </w:tcPr>
          <w:p w14:paraId="4A488F63">
            <w:pPr>
              <w:spacing w:line="360" w:lineRule="exact"/>
              <w:rPr>
                <w:rFonts w:hint="eastAsia" w:ascii="华文楷体" w:hAnsi="华文楷体" w:eastAsia="华文楷体" w:cs="华文楷体"/>
              </w:rPr>
            </w:pPr>
            <w:r>
              <w:rPr>
                <w:rFonts w:hint="eastAsia" w:ascii="华文楷体" w:hAnsi="华文楷体" w:eastAsia="华文楷体" w:cs="华文楷体"/>
                <w:sz w:val="24"/>
              </w:rPr>
              <w:t>（4）使用气体钢瓶放在走廊、大厅等公共场所现象。</w:t>
            </w:r>
          </w:p>
        </w:tc>
        <w:tc>
          <w:tcPr>
            <w:tcW w:w="850" w:type="dxa"/>
            <w:vAlign w:val="center"/>
          </w:tcPr>
          <w:p w14:paraId="2A6D9C30">
            <w:pPr>
              <w:spacing w:line="360" w:lineRule="exact"/>
              <w:jc w:val="center"/>
              <w:rPr>
                <w:rFonts w:hint="eastAsia" w:ascii="华文楷体" w:hAnsi="华文楷体" w:eastAsia="华文楷体" w:cs="华文楷体"/>
                <w:bCs/>
                <w:sz w:val="24"/>
              </w:rPr>
            </w:pPr>
            <w:r>
              <w:rPr>
                <w:rFonts w:hint="eastAsia" w:ascii="华文楷体" w:hAnsi="华文楷体" w:eastAsia="华文楷体" w:cs="华文楷体"/>
                <w:bCs/>
                <w:sz w:val="24"/>
              </w:rPr>
              <w:t>4分</w:t>
            </w:r>
          </w:p>
        </w:tc>
        <w:tc>
          <w:tcPr>
            <w:tcW w:w="851" w:type="dxa"/>
          </w:tcPr>
          <w:p w14:paraId="07AA2560">
            <w:pPr>
              <w:spacing w:line="360" w:lineRule="exact"/>
              <w:jc w:val="center"/>
              <w:rPr>
                <w:rFonts w:hint="eastAsia" w:ascii="华文楷体" w:hAnsi="华文楷体" w:eastAsia="华文楷体" w:cs="华文楷体"/>
                <w:sz w:val="24"/>
              </w:rPr>
            </w:pPr>
          </w:p>
        </w:tc>
      </w:tr>
      <w:tr w14:paraId="37C1B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17" w:type="dxa"/>
            <w:gridSpan w:val="2"/>
            <w:vMerge w:val="continue"/>
          </w:tcPr>
          <w:p w14:paraId="314D5C12">
            <w:pPr>
              <w:spacing w:line="360" w:lineRule="exact"/>
              <w:jc w:val="center"/>
              <w:rPr>
                <w:rFonts w:hint="eastAsia" w:ascii="华文楷体" w:hAnsi="华文楷体" w:eastAsia="华文楷体" w:cs="华文楷体"/>
                <w:sz w:val="24"/>
              </w:rPr>
            </w:pPr>
          </w:p>
        </w:tc>
        <w:tc>
          <w:tcPr>
            <w:tcW w:w="1276" w:type="dxa"/>
            <w:vMerge w:val="continue"/>
          </w:tcPr>
          <w:p w14:paraId="3BD55A1B">
            <w:pPr>
              <w:spacing w:line="360" w:lineRule="exact"/>
              <w:jc w:val="center"/>
              <w:rPr>
                <w:rFonts w:hint="eastAsia" w:ascii="华文楷体" w:hAnsi="华文楷体" w:eastAsia="华文楷体" w:cs="华文楷体"/>
                <w:sz w:val="24"/>
              </w:rPr>
            </w:pPr>
          </w:p>
        </w:tc>
        <w:tc>
          <w:tcPr>
            <w:tcW w:w="10348" w:type="dxa"/>
          </w:tcPr>
          <w:p w14:paraId="459CC60B">
            <w:pPr>
              <w:spacing w:line="360" w:lineRule="exact"/>
              <w:rPr>
                <w:rFonts w:hint="eastAsia" w:ascii="华文楷体" w:hAnsi="华文楷体" w:eastAsia="华文楷体" w:cs="华文楷体"/>
              </w:rPr>
            </w:pPr>
            <w:r>
              <w:rPr>
                <w:rFonts w:hint="eastAsia" w:ascii="华文楷体" w:hAnsi="华文楷体" w:eastAsia="华文楷体" w:cs="华文楷体"/>
                <w:sz w:val="24"/>
              </w:rPr>
              <w:t>（5）大量使用气体钢瓶的实验室存在管路破损或老化现象；存在未定期进行气体泄漏检查；存在使用多条气体管路的房间未张贴详细管路图的现象。</w:t>
            </w:r>
          </w:p>
        </w:tc>
        <w:tc>
          <w:tcPr>
            <w:tcW w:w="850" w:type="dxa"/>
            <w:vAlign w:val="center"/>
          </w:tcPr>
          <w:p w14:paraId="4FD9A633">
            <w:pPr>
              <w:spacing w:line="360" w:lineRule="exact"/>
              <w:jc w:val="center"/>
              <w:rPr>
                <w:rFonts w:hint="eastAsia" w:ascii="华文楷体" w:hAnsi="华文楷体" w:eastAsia="华文楷体" w:cs="华文楷体"/>
                <w:bCs/>
                <w:sz w:val="24"/>
              </w:rPr>
            </w:pPr>
            <w:r>
              <w:rPr>
                <w:rFonts w:ascii="华文楷体" w:hAnsi="华文楷体" w:eastAsia="华文楷体" w:cs="华文楷体"/>
                <w:bCs/>
                <w:sz w:val="24"/>
              </w:rPr>
              <w:t>6分</w:t>
            </w:r>
          </w:p>
        </w:tc>
        <w:tc>
          <w:tcPr>
            <w:tcW w:w="851" w:type="dxa"/>
          </w:tcPr>
          <w:p w14:paraId="733DD0EF">
            <w:pPr>
              <w:spacing w:line="360" w:lineRule="exact"/>
              <w:jc w:val="center"/>
              <w:rPr>
                <w:rFonts w:hint="eastAsia" w:ascii="华文楷体" w:hAnsi="华文楷体" w:eastAsia="华文楷体" w:cs="华文楷体"/>
                <w:sz w:val="24"/>
              </w:rPr>
            </w:pPr>
          </w:p>
        </w:tc>
      </w:tr>
      <w:tr w14:paraId="7F463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17" w:type="dxa"/>
            <w:gridSpan w:val="2"/>
            <w:vMerge w:val="restart"/>
          </w:tcPr>
          <w:p w14:paraId="71062AC6">
            <w:pPr>
              <w:spacing w:line="360" w:lineRule="exact"/>
              <w:jc w:val="center"/>
              <w:rPr>
                <w:rFonts w:hint="eastAsia" w:ascii="华文楷体" w:hAnsi="华文楷体" w:eastAsia="华文楷体" w:cs="华文楷体"/>
                <w:b/>
                <w:bCs/>
                <w:sz w:val="24"/>
              </w:rPr>
            </w:pPr>
          </w:p>
          <w:p w14:paraId="7457B2B0">
            <w:pPr>
              <w:spacing w:line="360" w:lineRule="exact"/>
              <w:jc w:val="center"/>
              <w:rPr>
                <w:rFonts w:hint="eastAsia" w:ascii="华文楷体" w:hAnsi="华文楷体" w:eastAsia="华文楷体" w:cs="华文楷体"/>
                <w:b/>
                <w:bCs/>
                <w:sz w:val="24"/>
              </w:rPr>
            </w:pPr>
            <w:r>
              <w:rPr>
                <w:rFonts w:hint="eastAsia" w:ascii="华文楷体" w:hAnsi="华文楷体" w:eastAsia="华文楷体" w:cs="华文楷体"/>
                <w:b/>
                <w:bCs/>
                <w:sz w:val="24"/>
              </w:rPr>
              <w:t>10</w:t>
            </w:r>
          </w:p>
        </w:tc>
        <w:tc>
          <w:tcPr>
            <w:tcW w:w="1276" w:type="dxa"/>
            <w:vMerge w:val="restart"/>
          </w:tcPr>
          <w:p w14:paraId="315D3D2A">
            <w:pPr>
              <w:spacing w:line="360" w:lineRule="exact"/>
              <w:jc w:val="center"/>
              <w:rPr>
                <w:rFonts w:hint="eastAsia" w:ascii="华文楷体" w:hAnsi="华文楷体" w:eastAsia="华文楷体" w:cs="华文楷体"/>
                <w:b/>
                <w:bCs/>
                <w:sz w:val="24"/>
              </w:rPr>
            </w:pPr>
          </w:p>
          <w:p w14:paraId="7BFF6D63">
            <w:pPr>
              <w:spacing w:line="360" w:lineRule="exact"/>
              <w:jc w:val="center"/>
              <w:rPr>
                <w:rFonts w:hint="eastAsia" w:ascii="华文楷体" w:hAnsi="华文楷体" w:eastAsia="华文楷体" w:cs="华文楷体"/>
                <w:b/>
                <w:bCs/>
                <w:sz w:val="24"/>
              </w:rPr>
            </w:pPr>
            <w:r>
              <w:rPr>
                <w:rFonts w:hint="eastAsia" w:ascii="华文楷体" w:hAnsi="华文楷体" w:eastAsia="华文楷体" w:cs="华文楷体"/>
                <w:b/>
                <w:bCs/>
                <w:sz w:val="24"/>
              </w:rPr>
              <w:t>设备安全</w:t>
            </w:r>
          </w:p>
        </w:tc>
        <w:tc>
          <w:tcPr>
            <w:tcW w:w="10348" w:type="dxa"/>
          </w:tcPr>
          <w:p w14:paraId="121020FA">
            <w:pPr>
              <w:spacing w:line="360" w:lineRule="exact"/>
              <w:rPr>
                <w:rFonts w:hint="eastAsia" w:ascii="华文楷体" w:hAnsi="华文楷体" w:eastAsia="华文楷体" w:cs="华文楷体"/>
                <w:sz w:val="24"/>
              </w:rPr>
            </w:pPr>
            <w:r>
              <w:rPr>
                <w:rFonts w:hint="eastAsia" w:ascii="华文楷体" w:hAnsi="华文楷体" w:eastAsia="华文楷体" w:cs="华文楷体"/>
                <w:sz w:val="24"/>
              </w:rPr>
              <w:t>（1)对于高温、高压、高速运动、电磁辐射等特殊设备，有培训要求的操作者无培训上岗；使用场所无安全警示标识或警戒线或配备安全防护设施（如防护罩、防护栏、自屏蔽设施等）不到位。</w:t>
            </w:r>
          </w:p>
        </w:tc>
        <w:tc>
          <w:tcPr>
            <w:tcW w:w="850" w:type="dxa"/>
            <w:vAlign w:val="center"/>
          </w:tcPr>
          <w:p w14:paraId="410764B3">
            <w:pPr>
              <w:spacing w:line="360" w:lineRule="exact"/>
              <w:jc w:val="center"/>
              <w:rPr>
                <w:rFonts w:hint="eastAsia" w:ascii="华文楷体" w:hAnsi="华文楷体" w:eastAsia="华文楷体" w:cs="华文楷体"/>
                <w:b/>
                <w:sz w:val="24"/>
              </w:rPr>
            </w:pPr>
            <w:r>
              <w:rPr>
                <w:rFonts w:ascii="华文楷体" w:hAnsi="华文楷体" w:eastAsia="华文楷体" w:cs="华文楷体"/>
                <w:b/>
                <w:sz w:val="24"/>
              </w:rPr>
              <w:t>12分</w:t>
            </w:r>
          </w:p>
        </w:tc>
        <w:tc>
          <w:tcPr>
            <w:tcW w:w="851" w:type="dxa"/>
          </w:tcPr>
          <w:p w14:paraId="39944302">
            <w:pPr>
              <w:spacing w:line="360" w:lineRule="exact"/>
              <w:jc w:val="center"/>
              <w:rPr>
                <w:rFonts w:hint="eastAsia" w:ascii="华文楷体" w:hAnsi="华文楷体" w:eastAsia="华文楷体" w:cs="华文楷体"/>
                <w:b/>
                <w:sz w:val="24"/>
              </w:rPr>
            </w:pPr>
            <w:r>
              <w:rPr>
                <w:rFonts w:hint="eastAsia" w:ascii="华文楷体" w:hAnsi="华文楷体" w:eastAsia="华文楷体" w:cs="华文楷体"/>
                <w:b/>
                <w:sz w:val="24"/>
              </w:rPr>
              <w:t>封停整治</w:t>
            </w:r>
          </w:p>
        </w:tc>
      </w:tr>
      <w:tr w14:paraId="3BCD6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17" w:type="dxa"/>
            <w:gridSpan w:val="2"/>
            <w:vMerge w:val="continue"/>
          </w:tcPr>
          <w:p w14:paraId="53FD522A">
            <w:pPr>
              <w:spacing w:line="360" w:lineRule="exact"/>
              <w:jc w:val="center"/>
              <w:rPr>
                <w:rFonts w:hint="eastAsia" w:ascii="华文楷体" w:hAnsi="华文楷体" w:eastAsia="华文楷体" w:cs="华文楷体"/>
                <w:sz w:val="24"/>
              </w:rPr>
            </w:pPr>
          </w:p>
        </w:tc>
        <w:tc>
          <w:tcPr>
            <w:tcW w:w="1276" w:type="dxa"/>
            <w:vMerge w:val="continue"/>
          </w:tcPr>
          <w:p w14:paraId="7F0D8F4D">
            <w:pPr>
              <w:spacing w:line="360" w:lineRule="exact"/>
              <w:jc w:val="center"/>
              <w:rPr>
                <w:rFonts w:hint="eastAsia" w:ascii="华文楷体" w:hAnsi="华文楷体" w:eastAsia="华文楷体" w:cs="华文楷体"/>
                <w:sz w:val="24"/>
              </w:rPr>
            </w:pPr>
          </w:p>
        </w:tc>
        <w:tc>
          <w:tcPr>
            <w:tcW w:w="10348" w:type="dxa"/>
          </w:tcPr>
          <w:p w14:paraId="38E06C93">
            <w:pPr>
              <w:spacing w:line="360" w:lineRule="exact"/>
              <w:rPr>
                <w:rFonts w:hint="eastAsia" w:ascii="华文楷体" w:hAnsi="华文楷体" w:eastAsia="华文楷体" w:cs="华文楷体"/>
                <w:sz w:val="24"/>
              </w:rPr>
            </w:pPr>
            <w:r>
              <w:rPr>
                <w:rFonts w:hint="eastAsia" w:ascii="华文楷体" w:hAnsi="华文楷体" w:eastAsia="华文楷体" w:cs="华文楷体"/>
                <w:sz w:val="24"/>
              </w:rPr>
              <w:t>（2）烘箱、电阻炉存在超期（使用期限为12年）服役现象，或其周围存放气体钢瓶、易燃易爆化学品、反应装置等。</w:t>
            </w:r>
          </w:p>
        </w:tc>
        <w:tc>
          <w:tcPr>
            <w:tcW w:w="850" w:type="dxa"/>
            <w:vAlign w:val="center"/>
          </w:tcPr>
          <w:p w14:paraId="391A2BB9">
            <w:pPr>
              <w:spacing w:line="360" w:lineRule="exact"/>
              <w:jc w:val="center"/>
              <w:rPr>
                <w:rFonts w:hint="eastAsia" w:ascii="华文楷体" w:hAnsi="华文楷体" w:eastAsia="华文楷体" w:cs="华文楷体"/>
                <w:b/>
                <w:sz w:val="24"/>
              </w:rPr>
            </w:pPr>
            <w:r>
              <w:rPr>
                <w:rFonts w:ascii="华文楷体" w:hAnsi="华文楷体" w:eastAsia="华文楷体" w:cs="华文楷体"/>
                <w:b/>
                <w:sz w:val="24"/>
              </w:rPr>
              <w:t>12分</w:t>
            </w:r>
          </w:p>
        </w:tc>
        <w:tc>
          <w:tcPr>
            <w:tcW w:w="851" w:type="dxa"/>
          </w:tcPr>
          <w:p w14:paraId="0CAE5E2C">
            <w:pPr>
              <w:spacing w:line="360" w:lineRule="exact"/>
              <w:jc w:val="center"/>
              <w:rPr>
                <w:rFonts w:hint="eastAsia" w:ascii="华文楷体" w:hAnsi="华文楷体" w:eastAsia="华文楷体" w:cs="华文楷体"/>
                <w:b/>
                <w:sz w:val="24"/>
              </w:rPr>
            </w:pPr>
            <w:r>
              <w:rPr>
                <w:rFonts w:hint="eastAsia" w:ascii="华文楷体" w:hAnsi="华文楷体" w:eastAsia="华文楷体" w:cs="华文楷体"/>
                <w:b/>
                <w:sz w:val="24"/>
              </w:rPr>
              <w:t>封停整治</w:t>
            </w:r>
          </w:p>
        </w:tc>
      </w:tr>
      <w:tr w14:paraId="5BE01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17" w:type="dxa"/>
            <w:gridSpan w:val="2"/>
            <w:vMerge w:val="continue"/>
          </w:tcPr>
          <w:p w14:paraId="00AA936E">
            <w:pPr>
              <w:spacing w:line="360" w:lineRule="exact"/>
              <w:jc w:val="center"/>
              <w:rPr>
                <w:rFonts w:hint="eastAsia" w:ascii="华文楷体" w:hAnsi="华文楷体" w:eastAsia="华文楷体" w:cs="华文楷体"/>
                <w:sz w:val="24"/>
              </w:rPr>
            </w:pPr>
          </w:p>
        </w:tc>
        <w:tc>
          <w:tcPr>
            <w:tcW w:w="1276" w:type="dxa"/>
            <w:vMerge w:val="continue"/>
          </w:tcPr>
          <w:p w14:paraId="140FAF29">
            <w:pPr>
              <w:spacing w:line="360" w:lineRule="exact"/>
              <w:jc w:val="center"/>
              <w:rPr>
                <w:rFonts w:hint="eastAsia" w:ascii="华文楷体" w:hAnsi="华文楷体" w:eastAsia="华文楷体" w:cs="华文楷体"/>
                <w:sz w:val="24"/>
              </w:rPr>
            </w:pPr>
          </w:p>
        </w:tc>
        <w:tc>
          <w:tcPr>
            <w:tcW w:w="10348" w:type="dxa"/>
          </w:tcPr>
          <w:p w14:paraId="08F73739">
            <w:pPr>
              <w:spacing w:line="360" w:lineRule="exact"/>
              <w:rPr>
                <w:rFonts w:hint="eastAsia" w:ascii="华文楷体" w:hAnsi="华文楷体" w:eastAsia="华文楷体" w:cs="华文楷体"/>
                <w:sz w:val="24"/>
              </w:rPr>
            </w:pPr>
            <w:r>
              <w:rPr>
                <w:rFonts w:hint="eastAsia" w:ascii="华文楷体" w:hAnsi="华文楷体" w:eastAsia="华文楷体" w:cs="华文楷体"/>
                <w:sz w:val="24"/>
              </w:rPr>
              <w:t>（3）使用的烘箱、电阻炉有故障、破损等现象，放置的位置、高度不合适，不方便操作。</w:t>
            </w:r>
          </w:p>
        </w:tc>
        <w:tc>
          <w:tcPr>
            <w:tcW w:w="850" w:type="dxa"/>
            <w:vAlign w:val="center"/>
          </w:tcPr>
          <w:p w14:paraId="43F226AF">
            <w:pPr>
              <w:spacing w:line="360" w:lineRule="exact"/>
              <w:jc w:val="center"/>
              <w:rPr>
                <w:rFonts w:hint="eastAsia" w:ascii="华文楷体" w:hAnsi="华文楷体" w:eastAsia="华文楷体" w:cs="华文楷体"/>
                <w:sz w:val="24"/>
              </w:rPr>
            </w:pPr>
            <w:r>
              <w:rPr>
                <w:rFonts w:ascii="华文楷体" w:hAnsi="华文楷体" w:eastAsia="华文楷体" w:cs="华文楷体"/>
                <w:sz w:val="24"/>
              </w:rPr>
              <w:t>4分</w:t>
            </w:r>
          </w:p>
        </w:tc>
        <w:tc>
          <w:tcPr>
            <w:tcW w:w="851" w:type="dxa"/>
          </w:tcPr>
          <w:p w14:paraId="2C79B628">
            <w:pPr>
              <w:spacing w:line="360" w:lineRule="exact"/>
              <w:jc w:val="center"/>
              <w:rPr>
                <w:rFonts w:hint="eastAsia" w:ascii="华文楷体" w:hAnsi="华文楷体" w:eastAsia="华文楷体" w:cs="华文楷体"/>
                <w:sz w:val="24"/>
              </w:rPr>
            </w:pPr>
          </w:p>
        </w:tc>
      </w:tr>
      <w:tr w14:paraId="72A34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17" w:type="dxa"/>
            <w:gridSpan w:val="2"/>
            <w:vMerge w:val="continue"/>
          </w:tcPr>
          <w:p w14:paraId="388E7016">
            <w:pPr>
              <w:spacing w:line="360" w:lineRule="exact"/>
              <w:jc w:val="center"/>
              <w:rPr>
                <w:rFonts w:hint="eastAsia" w:ascii="华文楷体" w:hAnsi="华文楷体" w:eastAsia="华文楷体" w:cs="华文楷体"/>
                <w:sz w:val="24"/>
              </w:rPr>
            </w:pPr>
          </w:p>
        </w:tc>
        <w:tc>
          <w:tcPr>
            <w:tcW w:w="1276" w:type="dxa"/>
            <w:vMerge w:val="continue"/>
          </w:tcPr>
          <w:p w14:paraId="7E1082B1">
            <w:pPr>
              <w:spacing w:line="360" w:lineRule="exact"/>
              <w:jc w:val="center"/>
              <w:rPr>
                <w:rFonts w:hint="eastAsia" w:ascii="华文楷体" w:hAnsi="华文楷体" w:eastAsia="华文楷体" w:cs="华文楷体"/>
                <w:sz w:val="24"/>
              </w:rPr>
            </w:pPr>
          </w:p>
        </w:tc>
        <w:tc>
          <w:tcPr>
            <w:tcW w:w="10348" w:type="dxa"/>
          </w:tcPr>
          <w:p w14:paraId="3757D8A1">
            <w:pPr>
              <w:spacing w:line="360" w:lineRule="exact"/>
              <w:rPr>
                <w:rFonts w:hint="eastAsia" w:ascii="华文楷体" w:hAnsi="华文楷体" w:eastAsia="华文楷体" w:cs="华文楷体"/>
                <w:sz w:val="24"/>
              </w:rPr>
            </w:pPr>
            <w:r>
              <w:rPr>
                <w:rFonts w:hint="eastAsia" w:ascii="华文楷体" w:hAnsi="华文楷体" w:eastAsia="华文楷体" w:cs="华文楷体"/>
                <w:sz w:val="24"/>
              </w:rPr>
              <w:t>（4）使用中的烘箱、电阻炉等加热设备无人值守或无实时监控。</w:t>
            </w:r>
          </w:p>
        </w:tc>
        <w:tc>
          <w:tcPr>
            <w:tcW w:w="850" w:type="dxa"/>
            <w:vAlign w:val="center"/>
          </w:tcPr>
          <w:p w14:paraId="0C2EBB0D">
            <w:pPr>
              <w:spacing w:line="360" w:lineRule="exact"/>
              <w:jc w:val="center"/>
              <w:rPr>
                <w:rFonts w:hint="eastAsia" w:ascii="华文楷体" w:hAnsi="华文楷体" w:eastAsia="华文楷体" w:cs="华文楷体"/>
                <w:sz w:val="24"/>
              </w:rPr>
            </w:pPr>
            <w:r>
              <w:rPr>
                <w:rFonts w:hint="eastAsia" w:ascii="华文楷体" w:hAnsi="华文楷体" w:eastAsia="华文楷体" w:cs="华文楷体"/>
                <w:sz w:val="24"/>
              </w:rPr>
              <w:t>6分</w:t>
            </w:r>
          </w:p>
        </w:tc>
        <w:tc>
          <w:tcPr>
            <w:tcW w:w="851" w:type="dxa"/>
          </w:tcPr>
          <w:p w14:paraId="31B17F73">
            <w:pPr>
              <w:spacing w:line="360" w:lineRule="exact"/>
              <w:jc w:val="center"/>
              <w:rPr>
                <w:rFonts w:hint="eastAsia" w:ascii="华文楷体" w:hAnsi="华文楷体" w:eastAsia="华文楷体" w:cs="华文楷体"/>
                <w:sz w:val="24"/>
              </w:rPr>
            </w:pPr>
          </w:p>
        </w:tc>
      </w:tr>
      <w:tr w14:paraId="3D74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17" w:type="dxa"/>
            <w:gridSpan w:val="2"/>
            <w:vMerge w:val="continue"/>
          </w:tcPr>
          <w:p w14:paraId="58AFF341">
            <w:pPr>
              <w:spacing w:line="360" w:lineRule="exact"/>
              <w:jc w:val="center"/>
              <w:rPr>
                <w:rFonts w:hint="eastAsia" w:ascii="华文楷体" w:hAnsi="华文楷体" w:eastAsia="华文楷体" w:cs="华文楷体"/>
                <w:sz w:val="24"/>
              </w:rPr>
            </w:pPr>
          </w:p>
        </w:tc>
        <w:tc>
          <w:tcPr>
            <w:tcW w:w="1276" w:type="dxa"/>
            <w:vMerge w:val="continue"/>
          </w:tcPr>
          <w:p w14:paraId="216F6DCC">
            <w:pPr>
              <w:spacing w:line="360" w:lineRule="exact"/>
              <w:jc w:val="center"/>
              <w:rPr>
                <w:rFonts w:hint="eastAsia" w:ascii="华文楷体" w:hAnsi="华文楷体" w:eastAsia="华文楷体" w:cs="华文楷体"/>
                <w:sz w:val="24"/>
              </w:rPr>
            </w:pPr>
          </w:p>
        </w:tc>
        <w:tc>
          <w:tcPr>
            <w:tcW w:w="10348" w:type="dxa"/>
          </w:tcPr>
          <w:p w14:paraId="7F32BD99">
            <w:pPr>
              <w:spacing w:line="360" w:lineRule="exact"/>
              <w:rPr>
                <w:rFonts w:hint="eastAsia" w:ascii="华文楷体" w:hAnsi="华文楷体" w:eastAsia="华文楷体" w:cs="华文楷体"/>
                <w:sz w:val="24"/>
              </w:rPr>
            </w:pPr>
            <w:r>
              <w:rPr>
                <w:rFonts w:hint="eastAsia" w:ascii="华文楷体" w:hAnsi="华文楷体" w:eastAsia="华文楷体" w:cs="华文楷体"/>
                <w:sz w:val="24"/>
              </w:rPr>
              <w:t>（5）大型精密仪器无安全防护措施，无安全应急预案，无操作说明。</w:t>
            </w:r>
          </w:p>
        </w:tc>
        <w:tc>
          <w:tcPr>
            <w:tcW w:w="850" w:type="dxa"/>
            <w:vAlign w:val="center"/>
          </w:tcPr>
          <w:p w14:paraId="049409FA">
            <w:pPr>
              <w:spacing w:line="360" w:lineRule="exact"/>
              <w:jc w:val="center"/>
              <w:rPr>
                <w:rFonts w:hint="eastAsia" w:ascii="华文楷体" w:hAnsi="华文楷体" w:eastAsia="华文楷体" w:cs="华文楷体"/>
                <w:sz w:val="24"/>
              </w:rPr>
            </w:pPr>
            <w:r>
              <w:rPr>
                <w:rFonts w:hint="eastAsia" w:ascii="华文楷体" w:hAnsi="华文楷体" w:eastAsia="华文楷体" w:cs="华文楷体"/>
                <w:sz w:val="24"/>
              </w:rPr>
              <w:t>6分</w:t>
            </w:r>
          </w:p>
        </w:tc>
        <w:tc>
          <w:tcPr>
            <w:tcW w:w="851" w:type="dxa"/>
          </w:tcPr>
          <w:p w14:paraId="738D492A">
            <w:pPr>
              <w:spacing w:line="360" w:lineRule="exact"/>
              <w:jc w:val="center"/>
              <w:rPr>
                <w:rFonts w:hint="eastAsia" w:ascii="华文楷体" w:hAnsi="华文楷体" w:eastAsia="华文楷体" w:cs="华文楷体"/>
                <w:sz w:val="24"/>
              </w:rPr>
            </w:pPr>
          </w:p>
        </w:tc>
      </w:tr>
      <w:tr w14:paraId="7C790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17" w:type="dxa"/>
            <w:gridSpan w:val="2"/>
            <w:vMerge w:val="continue"/>
          </w:tcPr>
          <w:p w14:paraId="4BD61F35">
            <w:pPr>
              <w:spacing w:line="360" w:lineRule="exact"/>
              <w:jc w:val="center"/>
              <w:rPr>
                <w:rFonts w:hint="eastAsia" w:ascii="华文楷体" w:hAnsi="华文楷体" w:eastAsia="华文楷体" w:cs="华文楷体"/>
                <w:sz w:val="24"/>
              </w:rPr>
            </w:pPr>
          </w:p>
        </w:tc>
        <w:tc>
          <w:tcPr>
            <w:tcW w:w="1276" w:type="dxa"/>
            <w:vMerge w:val="continue"/>
          </w:tcPr>
          <w:p w14:paraId="64DC70A1">
            <w:pPr>
              <w:spacing w:line="360" w:lineRule="exact"/>
              <w:jc w:val="center"/>
              <w:rPr>
                <w:rFonts w:hint="eastAsia" w:ascii="华文楷体" w:hAnsi="华文楷体" w:eastAsia="华文楷体" w:cs="华文楷体"/>
                <w:sz w:val="24"/>
              </w:rPr>
            </w:pPr>
          </w:p>
        </w:tc>
        <w:tc>
          <w:tcPr>
            <w:tcW w:w="10348" w:type="dxa"/>
          </w:tcPr>
          <w:p w14:paraId="56B1C607">
            <w:pPr>
              <w:spacing w:before="156" w:beforeLines="50" w:line="240" w:lineRule="exact"/>
              <w:rPr>
                <w:rFonts w:hint="eastAsia" w:ascii="华文楷体" w:hAnsi="华文楷体" w:eastAsia="华文楷体" w:cs="华文楷体"/>
                <w:sz w:val="24"/>
              </w:rPr>
            </w:pPr>
            <w:r>
              <w:rPr>
                <w:rFonts w:hint="eastAsia" w:ascii="华文楷体" w:hAnsi="华文楷体" w:eastAsia="华文楷体" w:cs="华文楷体"/>
                <w:sz w:val="24"/>
              </w:rPr>
              <w:t>（</w:t>
            </w:r>
            <w:r>
              <w:rPr>
                <w:rFonts w:ascii="华文楷体" w:hAnsi="华文楷体" w:eastAsia="华文楷体" w:cs="华文楷体"/>
                <w:sz w:val="24"/>
              </w:rPr>
              <w:t>6）涉及的特种设备（行车、锅炉等）无年检报告，操作人员无</w:t>
            </w:r>
            <w:r>
              <w:rPr>
                <w:rFonts w:hint="eastAsia" w:ascii="华文楷体" w:hAnsi="华文楷体" w:eastAsia="华文楷体" w:cs="华文楷体"/>
                <w:sz w:val="24"/>
              </w:rPr>
              <w:t>培训上岗。</w:t>
            </w:r>
          </w:p>
        </w:tc>
        <w:tc>
          <w:tcPr>
            <w:tcW w:w="850" w:type="dxa"/>
            <w:vAlign w:val="center"/>
          </w:tcPr>
          <w:p w14:paraId="7086D61F">
            <w:pPr>
              <w:spacing w:line="240" w:lineRule="exact"/>
              <w:jc w:val="center"/>
              <w:rPr>
                <w:rFonts w:hint="eastAsia" w:ascii="华文楷体" w:hAnsi="华文楷体" w:eastAsia="华文楷体" w:cs="华文楷体"/>
                <w:b/>
                <w:sz w:val="24"/>
              </w:rPr>
            </w:pPr>
            <w:r>
              <w:rPr>
                <w:rFonts w:ascii="华文楷体" w:hAnsi="华文楷体" w:eastAsia="华文楷体" w:cs="华文楷体"/>
                <w:b/>
                <w:sz w:val="24"/>
              </w:rPr>
              <w:t>12分</w:t>
            </w:r>
          </w:p>
        </w:tc>
        <w:tc>
          <w:tcPr>
            <w:tcW w:w="851" w:type="dxa"/>
          </w:tcPr>
          <w:p w14:paraId="1DAA2166">
            <w:pPr>
              <w:spacing w:line="240" w:lineRule="exact"/>
              <w:jc w:val="center"/>
              <w:rPr>
                <w:rFonts w:hint="eastAsia" w:ascii="华文楷体" w:hAnsi="华文楷体" w:eastAsia="华文楷体" w:cs="华文楷体"/>
                <w:b/>
                <w:sz w:val="24"/>
              </w:rPr>
            </w:pPr>
            <w:r>
              <w:rPr>
                <w:rFonts w:hint="eastAsia" w:ascii="华文楷体" w:hAnsi="华文楷体" w:eastAsia="华文楷体" w:cs="华文楷体"/>
                <w:b/>
                <w:sz w:val="24"/>
              </w:rPr>
              <w:t>封停整治</w:t>
            </w:r>
          </w:p>
        </w:tc>
      </w:tr>
      <w:tr w14:paraId="6D9F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17" w:type="dxa"/>
            <w:gridSpan w:val="2"/>
            <w:vMerge w:val="continue"/>
          </w:tcPr>
          <w:p w14:paraId="356B223A">
            <w:pPr>
              <w:spacing w:line="360" w:lineRule="exact"/>
              <w:jc w:val="center"/>
              <w:rPr>
                <w:rFonts w:hint="eastAsia" w:ascii="华文楷体" w:hAnsi="华文楷体" w:eastAsia="华文楷体" w:cs="华文楷体"/>
                <w:sz w:val="24"/>
              </w:rPr>
            </w:pPr>
          </w:p>
        </w:tc>
        <w:tc>
          <w:tcPr>
            <w:tcW w:w="1276" w:type="dxa"/>
            <w:vMerge w:val="continue"/>
          </w:tcPr>
          <w:p w14:paraId="5A1401F4">
            <w:pPr>
              <w:spacing w:line="360" w:lineRule="exact"/>
              <w:jc w:val="center"/>
              <w:rPr>
                <w:rFonts w:hint="eastAsia" w:ascii="华文楷体" w:hAnsi="华文楷体" w:eastAsia="华文楷体" w:cs="华文楷体"/>
                <w:sz w:val="24"/>
              </w:rPr>
            </w:pPr>
          </w:p>
        </w:tc>
        <w:tc>
          <w:tcPr>
            <w:tcW w:w="10348" w:type="dxa"/>
          </w:tcPr>
          <w:p w14:paraId="55D3972D">
            <w:pPr>
              <w:spacing w:line="360" w:lineRule="exact"/>
              <w:rPr>
                <w:rFonts w:hint="eastAsia" w:ascii="华文楷体" w:hAnsi="华文楷体" w:eastAsia="华文楷体" w:cs="华文楷体"/>
                <w:sz w:val="24"/>
              </w:rPr>
            </w:pPr>
            <w:r>
              <w:rPr>
                <w:rFonts w:hint="eastAsia" w:ascii="华文楷体" w:hAnsi="华文楷体" w:eastAsia="华文楷体" w:cs="华文楷体"/>
                <w:sz w:val="24"/>
              </w:rPr>
              <w:t>（7）使用完电吹风、电热枪等未及时拔除电源插头现象。</w:t>
            </w:r>
          </w:p>
        </w:tc>
        <w:tc>
          <w:tcPr>
            <w:tcW w:w="850" w:type="dxa"/>
            <w:vAlign w:val="center"/>
          </w:tcPr>
          <w:p w14:paraId="523DBFA9">
            <w:pPr>
              <w:spacing w:line="360" w:lineRule="exact"/>
              <w:jc w:val="center"/>
              <w:rPr>
                <w:rFonts w:hint="eastAsia" w:ascii="华文楷体" w:hAnsi="华文楷体" w:eastAsia="华文楷体" w:cs="华文楷体"/>
                <w:sz w:val="24"/>
              </w:rPr>
            </w:pPr>
            <w:r>
              <w:rPr>
                <w:rFonts w:hint="eastAsia" w:ascii="华文楷体" w:hAnsi="华文楷体" w:eastAsia="华文楷体" w:cs="华文楷体"/>
                <w:sz w:val="24"/>
              </w:rPr>
              <w:t>4分</w:t>
            </w:r>
          </w:p>
        </w:tc>
        <w:tc>
          <w:tcPr>
            <w:tcW w:w="851" w:type="dxa"/>
          </w:tcPr>
          <w:p w14:paraId="74A24239">
            <w:pPr>
              <w:spacing w:line="360" w:lineRule="exact"/>
              <w:jc w:val="center"/>
              <w:rPr>
                <w:rFonts w:hint="eastAsia" w:ascii="华文楷体" w:hAnsi="华文楷体" w:eastAsia="华文楷体" w:cs="华文楷体"/>
                <w:sz w:val="24"/>
              </w:rPr>
            </w:pPr>
          </w:p>
        </w:tc>
      </w:tr>
      <w:tr w14:paraId="7AB0B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17" w:type="dxa"/>
            <w:gridSpan w:val="2"/>
            <w:vMerge w:val="restart"/>
          </w:tcPr>
          <w:p w14:paraId="06C0674C">
            <w:pPr>
              <w:spacing w:line="360" w:lineRule="exact"/>
              <w:jc w:val="center"/>
              <w:rPr>
                <w:rFonts w:hint="eastAsia" w:ascii="华文楷体" w:hAnsi="华文楷体" w:eastAsia="华文楷体" w:cs="华文楷体"/>
                <w:b/>
                <w:bCs/>
                <w:sz w:val="24"/>
              </w:rPr>
            </w:pPr>
          </w:p>
          <w:p w14:paraId="70B7E32A">
            <w:pPr>
              <w:spacing w:line="360" w:lineRule="exact"/>
              <w:jc w:val="center"/>
              <w:rPr>
                <w:rFonts w:hint="eastAsia" w:ascii="华文楷体" w:hAnsi="华文楷体" w:eastAsia="华文楷体" w:cs="华文楷体"/>
                <w:b/>
                <w:bCs/>
                <w:sz w:val="24"/>
              </w:rPr>
            </w:pPr>
          </w:p>
          <w:p w14:paraId="2ACB6269">
            <w:pPr>
              <w:spacing w:line="360" w:lineRule="exact"/>
              <w:jc w:val="center"/>
              <w:rPr>
                <w:rFonts w:hint="eastAsia" w:ascii="华文楷体" w:hAnsi="华文楷体" w:eastAsia="华文楷体" w:cs="华文楷体"/>
                <w:b/>
                <w:bCs/>
                <w:sz w:val="24"/>
              </w:rPr>
            </w:pPr>
          </w:p>
          <w:p w14:paraId="2186FFBE">
            <w:pPr>
              <w:spacing w:line="360" w:lineRule="exact"/>
              <w:jc w:val="center"/>
              <w:rPr>
                <w:rFonts w:hint="eastAsia" w:ascii="华文楷体" w:hAnsi="华文楷体" w:eastAsia="华文楷体" w:cs="华文楷体"/>
                <w:b/>
                <w:bCs/>
                <w:sz w:val="24"/>
              </w:rPr>
            </w:pPr>
          </w:p>
          <w:p w14:paraId="028C4645">
            <w:pPr>
              <w:spacing w:line="360" w:lineRule="exact"/>
              <w:jc w:val="center"/>
              <w:rPr>
                <w:rFonts w:hint="eastAsia" w:ascii="华文楷体" w:hAnsi="华文楷体" w:eastAsia="华文楷体" w:cs="华文楷体"/>
                <w:b/>
                <w:bCs/>
                <w:sz w:val="24"/>
              </w:rPr>
            </w:pPr>
            <w:r>
              <w:rPr>
                <w:rFonts w:hint="eastAsia" w:ascii="华文楷体" w:hAnsi="华文楷体" w:eastAsia="华文楷体" w:cs="华文楷体"/>
                <w:b/>
                <w:bCs/>
                <w:sz w:val="24"/>
              </w:rPr>
              <w:t>11</w:t>
            </w:r>
          </w:p>
        </w:tc>
        <w:tc>
          <w:tcPr>
            <w:tcW w:w="1276" w:type="dxa"/>
            <w:vMerge w:val="restart"/>
          </w:tcPr>
          <w:p w14:paraId="38E78B58">
            <w:pPr>
              <w:spacing w:line="360" w:lineRule="exact"/>
              <w:jc w:val="center"/>
              <w:rPr>
                <w:rFonts w:hint="eastAsia" w:ascii="华文楷体" w:hAnsi="华文楷体" w:eastAsia="华文楷体" w:cs="华文楷体"/>
                <w:b/>
                <w:bCs/>
                <w:sz w:val="24"/>
              </w:rPr>
            </w:pPr>
          </w:p>
          <w:p w14:paraId="0FC14D4B">
            <w:pPr>
              <w:spacing w:line="360" w:lineRule="exact"/>
              <w:jc w:val="center"/>
              <w:rPr>
                <w:rFonts w:hint="eastAsia" w:ascii="华文楷体" w:hAnsi="华文楷体" w:eastAsia="华文楷体" w:cs="华文楷体"/>
                <w:b/>
                <w:bCs/>
                <w:sz w:val="24"/>
              </w:rPr>
            </w:pPr>
          </w:p>
          <w:p w14:paraId="4EABEF51">
            <w:pPr>
              <w:spacing w:line="360" w:lineRule="exact"/>
              <w:jc w:val="center"/>
              <w:rPr>
                <w:rFonts w:hint="eastAsia" w:ascii="华文楷体" w:hAnsi="华文楷体" w:eastAsia="华文楷体" w:cs="华文楷体"/>
                <w:b/>
                <w:bCs/>
                <w:sz w:val="24"/>
              </w:rPr>
            </w:pPr>
          </w:p>
          <w:p w14:paraId="3A481791">
            <w:pPr>
              <w:spacing w:line="360" w:lineRule="exact"/>
              <w:jc w:val="center"/>
              <w:rPr>
                <w:rFonts w:hint="eastAsia" w:ascii="华文楷体" w:hAnsi="华文楷体" w:eastAsia="华文楷体" w:cs="华文楷体"/>
                <w:b/>
                <w:bCs/>
                <w:sz w:val="24"/>
              </w:rPr>
            </w:pPr>
          </w:p>
          <w:p w14:paraId="7EE98371">
            <w:pPr>
              <w:spacing w:line="360" w:lineRule="exact"/>
              <w:jc w:val="center"/>
              <w:rPr>
                <w:rFonts w:hint="eastAsia" w:ascii="华文楷体" w:hAnsi="华文楷体" w:eastAsia="华文楷体" w:cs="华文楷体"/>
                <w:b/>
                <w:bCs/>
                <w:sz w:val="24"/>
              </w:rPr>
            </w:pPr>
            <w:r>
              <w:rPr>
                <w:rFonts w:hint="eastAsia" w:ascii="华文楷体" w:hAnsi="华文楷体" w:eastAsia="华文楷体" w:cs="华文楷体"/>
                <w:b/>
                <w:bCs/>
                <w:sz w:val="24"/>
              </w:rPr>
              <w:t>个人防护</w:t>
            </w:r>
          </w:p>
        </w:tc>
        <w:tc>
          <w:tcPr>
            <w:tcW w:w="10348" w:type="dxa"/>
          </w:tcPr>
          <w:p w14:paraId="513EA8DE">
            <w:pPr>
              <w:spacing w:line="360" w:lineRule="exact"/>
              <w:rPr>
                <w:rFonts w:hint="eastAsia" w:ascii="华文楷体" w:hAnsi="华文楷体" w:eastAsia="华文楷体" w:cs="华文楷体"/>
                <w:sz w:val="24"/>
              </w:rPr>
            </w:pPr>
            <w:r>
              <w:rPr>
                <w:rFonts w:hint="eastAsia" w:ascii="华文楷体" w:hAnsi="华文楷体" w:eastAsia="华文楷体" w:cs="华文楷体"/>
                <w:sz w:val="24"/>
              </w:rPr>
              <w:t>（1）在实验室场所存在穿拖鞋、高跟鞋、短裤的现象。</w:t>
            </w:r>
          </w:p>
        </w:tc>
        <w:tc>
          <w:tcPr>
            <w:tcW w:w="850" w:type="dxa"/>
            <w:vAlign w:val="center"/>
          </w:tcPr>
          <w:p w14:paraId="18F3E780">
            <w:pPr>
              <w:spacing w:line="360" w:lineRule="exact"/>
              <w:jc w:val="center"/>
              <w:rPr>
                <w:rFonts w:hint="eastAsia" w:ascii="华文楷体" w:hAnsi="华文楷体" w:eastAsia="华文楷体" w:cs="华文楷体"/>
                <w:sz w:val="24"/>
              </w:rPr>
            </w:pPr>
            <w:r>
              <w:rPr>
                <w:rFonts w:hint="eastAsia" w:ascii="华文楷体" w:hAnsi="华文楷体" w:eastAsia="华文楷体" w:cs="华文楷体"/>
                <w:sz w:val="24"/>
              </w:rPr>
              <w:t>4分</w:t>
            </w:r>
          </w:p>
        </w:tc>
        <w:tc>
          <w:tcPr>
            <w:tcW w:w="851" w:type="dxa"/>
          </w:tcPr>
          <w:p w14:paraId="2F24C1DF">
            <w:pPr>
              <w:spacing w:line="360" w:lineRule="exact"/>
              <w:jc w:val="center"/>
              <w:rPr>
                <w:rFonts w:hint="eastAsia" w:ascii="华文楷体" w:hAnsi="华文楷体" w:eastAsia="华文楷体" w:cs="华文楷体"/>
                <w:sz w:val="24"/>
              </w:rPr>
            </w:pPr>
          </w:p>
        </w:tc>
      </w:tr>
      <w:tr w14:paraId="73D60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17" w:type="dxa"/>
            <w:gridSpan w:val="2"/>
            <w:vMerge w:val="continue"/>
          </w:tcPr>
          <w:p w14:paraId="7CACB5AC">
            <w:pPr>
              <w:spacing w:line="360" w:lineRule="exact"/>
              <w:jc w:val="center"/>
              <w:rPr>
                <w:rFonts w:hint="eastAsia" w:ascii="华文楷体" w:hAnsi="华文楷体" w:eastAsia="华文楷体" w:cs="华文楷体"/>
                <w:b/>
                <w:bCs/>
                <w:sz w:val="24"/>
              </w:rPr>
            </w:pPr>
          </w:p>
        </w:tc>
        <w:tc>
          <w:tcPr>
            <w:tcW w:w="1276" w:type="dxa"/>
            <w:vMerge w:val="continue"/>
          </w:tcPr>
          <w:p w14:paraId="396E8EE0">
            <w:pPr>
              <w:spacing w:line="360" w:lineRule="exact"/>
              <w:jc w:val="center"/>
              <w:rPr>
                <w:rFonts w:hint="eastAsia" w:ascii="华文楷体" w:hAnsi="华文楷体" w:eastAsia="华文楷体" w:cs="华文楷体"/>
                <w:b/>
                <w:bCs/>
                <w:sz w:val="24"/>
              </w:rPr>
            </w:pPr>
          </w:p>
        </w:tc>
        <w:tc>
          <w:tcPr>
            <w:tcW w:w="10348" w:type="dxa"/>
          </w:tcPr>
          <w:p w14:paraId="44733308">
            <w:pPr>
              <w:spacing w:line="360" w:lineRule="exact"/>
              <w:rPr>
                <w:rFonts w:hint="eastAsia" w:ascii="华文楷体" w:hAnsi="华文楷体" w:eastAsia="华文楷体" w:cs="华文楷体"/>
                <w:sz w:val="24"/>
              </w:rPr>
            </w:pPr>
            <w:r>
              <w:rPr>
                <w:rFonts w:hint="eastAsia" w:ascii="华文楷体" w:hAnsi="华文楷体" w:eastAsia="华文楷体" w:cs="华文楷体"/>
                <w:sz w:val="24"/>
              </w:rPr>
              <w:t>（2）进入实验室不穿戴实验服或防护服，进行有危险性的化学实验操作时未佩戴橡胶手套、防护眼镜等。</w:t>
            </w:r>
          </w:p>
        </w:tc>
        <w:tc>
          <w:tcPr>
            <w:tcW w:w="850" w:type="dxa"/>
            <w:vAlign w:val="center"/>
          </w:tcPr>
          <w:p w14:paraId="56C338C0">
            <w:pPr>
              <w:spacing w:line="360" w:lineRule="exact"/>
              <w:jc w:val="center"/>
              <w:rPr>
                <w:rFonts w:hint="eastAsia" w:ascii="华文楷体" w:hAnsi="华文楷体" w:eastAsia="华文楷体" w:cs="华文楷体"/>
                <w:sz w:val="24"/>
              </w:rPr>
            </w:pPr>
            <w:r>
              <w:rPr>
                <w:rFonts w:hint="eastAsia" w:ascii="华文楷体" w:hAnsi="华文楷体" w:eastAsia="华文楷体" w:cs="华文楷体"/>
                <w:sz w:val="24"/>
              </w:rPr>
              <w:t>4分</w:t>
            </w:r>
          </w:p>
        </w:tc>
        <w:tc>
          <w:tcPr>
            <w:tcW w:w="851" w:type="dxa"/>
          </w:tcPr>
          <w:p w14:paraId="2AA4F1DF">
            <w:pPr>
              <w:spacing w:line="360" w:lineRule="exact"/>
              <w:jc w:val="center"/>
              <w:rPr>
                <w:rFonts w:hint="eastAsia" w:ascii="华文楷体" w:hAnsi="华文楷体" w:eastAsia="华文楷体" w:cs="华文楷体"/>
                <w:sz w:val="24"/>
              </w:rPr>
            </w:pPr>
          </w:p>
        </w:tc>
      </w:tr>
      <w:tr w14:paraId="23041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17" w:type="dxa"/>
            <w:gridSpan w:val="2"/>
            <w:vMerge w:val="continue"/>
          </w:tcPr>
          <w:p w14:paraId="5EAB3B56">
            <w:pPr>
              <w:spacing w:line="360" w:lineRule="exact"/>
              <w:jc w:val="center"/>
              <w:rPr>
                <w:rFonts w:hint="eastAsia" w:ascii="华文楷体" w:hAnsi="华文楷体" w:eastAsia="华文楷体" w:cs="华文楷体"/>
                <w:b/>
                <w:bCs/>
                <w:sz w:val="24"/>
              </w:rPr>
            </w:pPr>
          </w:p>
        </w:tc>
        <w:tc>
          <w:tcPr>
            <w:tcW w:w="1276" w:type="dxa"/>
            <w:vMerge w:val="continue"/>
          </w:tcPr>
          <w:p w14:paraId="72612BB7">
            <w:pPr>
              <w:spacing w:line="360" w:lineRule="exact"/>
              <w:jc w:val="center"/>
              <w:rPr>
                <w:rFonts w:hint="eastAsia" w:ascii="华文楷体" w:hAnsi="华文楷体" w:eastAsia="华文楷体" w:cs="华文楷体"/>
                <w:b/>
                <w:bCs/>
                <w:sz w:val="24"/>
              </w:rPr>
            </w:pPr>
          </w:p>
        </w:tc>
        <w:tc>
          <w:tcPr>
            <w:tcW w:w="10348" w:type="dxa"/>
          </w:tcPr>
          <w:p w14:paraId="47F2312A">
            <w:pPr>
              <w:spacing w:before="156" w:beforeLines="50" w:line="360" w:lineRule="exact"/>
              <w:rPr>
                <w:rFonts w:hint="eastAsia" w:ascii="华文楷体" w:hAnsi="华文楷体" w:eastAsia="华文楷体" w:cs="华文楷体"/>
                <w:sz w:val="24"/>
              </w:rPr>
            </w:pPr>
            <w:r>
              <w:rPr>
                <w:rFonts w:hint="eastAsia" w:ascii="华文楷体" w:hAnsi="华文楷体" w:eastAsia="华文楷体" w:cs="华文楷体"/>
                <w:sz w:val="24"/>
              </w:rPr>
              <w:t>（3）涉辐人员未佩带个人剂量计上岗作业或配备的剂量计平时都放在实验室里。</w:t>
            </w:r>
          </w:p>
        </w:tc>
        <w:tc>
          <w:tcPr>
            <w:tcW w:w="850" w:type="dxa"/>
            <w:vAlign w:val="center"/>
          </w:tcPr>
          <w:p w14:paraId="76938407">
            <w:pPr>
              <w:spacing w:line="360" w:lineRule="exact"/>
              <w:jc w:val="center"/>
              <w:rPr>
                <w:rFonts w:hint="eastAsia" w:ascii="华文楷体" w:hAnsi="华文楷体" w:eastAsia="华文楷体" w:cs="华文楷体"/>
                <w:sz w:val="24"/>
              </w:rPr>
            </w:pPr>
            <w:r>
              <w:rPr>
                <w:rFonts w:hint="eastAsia" w:ascii="华文楷体" w:hAnsi="华文楷体" w:eastAsia="华文楷体" w:cs="华文楷体"/>
                <w:sz w:val="24"/>
              </w:rPr>
              <w:t>3分</w:t>
            </w:r>
          </w:p>
        </w:tc>
        <w:tc>
          <w:tcPr>
            <w:tcW w:w="851" w:type="dxa"/>
          </w:tcPr>
          <w:p w14:paraId="035F3E3B">
            <w:pPr>
              <w:spacing w:line="360" w:lineRule="exact"/>
              <w:jc w:val="center"/>
              <w:rPr>
                <w:rFonts w:hint="eastAsia" w:ascii="华文楷体" w:hAnsi="华文楷体" w:eastAsia="华文楷体" w:cs="华文楷体"/>
                <w:sz w:val="24"/>
              </w:rPr>
            </w:pPr>
          </w:p>
        </w:tc>
      </w:tr>
      <w:tr w14:paraId="2385C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17" w:type="dxa"/>
            <w:gridSpan w:val="2"/>
            <w:vMerge w:val="continue"/>
          </w:tcPr>
          <w:p w14:paraId="5FB76D12">
            <w:pPr>
              <w:spacing w:line="360" w:lineRule="exact"/>
              <w:jc w:val="center"/>
              <w:rPr>
                <w:rFonts w:hint="eastAsia" w:ascii="华文楷体" w:hAnsi="华文楷体" w:eastAsia="华文楷体" w:cs="华文楷体"/>
                <w:b/>
                <w:bCs/>
                <w:sz w:val="24"/>
              </w:rPr>
            </w:pPr>
          </w:p>
        </w:tc>
        <w:tc>
          <w:tcPr>
            <w:tcW w:w="1276" w:type="dxa"/>
            <w:vMerge w:val="continue"/>
          </w:tcPr>
          <w:p w14:paraId="71F5E0C9">
            <w:pPr>
              <w:spacing w:line="360" w:lineRule="exact"/>
              <w:jc w:val="center"/>
              <w:rPr>
                <w:rFonts w:hint="eastAsia" w:ascii="华文楷体" w:hAnsi="华文楷体" w:eastAsia="华文楷体" w:cs="华文楷体"/>
                <w:b/>
                <w:bCs/>
                <w:sz w:val="24"/>
              </w:rPr>
            </w:pPr>
          </w:p>
        </w:tc>
        <w:tc>
          <w:tcPr>
            <w:tcW w:w="10348" w:type="dxa"/>
          </w:tcPr>
          <w:p w14:paraId="21612018">
            <w:pPr>
              <w:spacing w:line="360" w:lineRule="exact"/>
              <w:rPr>
                <w:rFonts w:hint="eastAsia" w:ascii="华文楷体" w:hAnsi="华文楷体" w:eastAsia="华文楷体" w:cs="华文楷体"/>
                <w:sz w:val="24"/>
              </w:rPr>
            </w:pPr>
            <w:r>
              <w:rPr>
                <w:rFonts w:hint="eastAsia" w:ascii="华文楷体" w:hAnsi="华文楷体" w:eastAsia="华文楷体" w:cs="华文楷体"/>
                <w:sz w:val="24"/>
              </w:rPr>
              <w:t>（4）高速切削机械操作，操作人员存在未穿好工作服、戴好防护眼镜。</w:t>
            </w:r>
          </w:p>
        </w:tc>
        <w:tc>
          <w:tcPr>
            <w:tcW w:w="850" w:type="dxa"/>
            <w:vAlign w:val="center"/>
          </w:tcPr>
          <w:p w14:paraId="71B9B724">
            <w:pPr>
              <w:spacing w:line="360" w:lineRule="exact"/>
              <w:jc w:val="center"/>
              <w:rPr>
                <w:rFonts w:hint="eastAsia" w:ascii="华文楷体" w:hAnsi="华文楷体" w:eastAsia="华文楷体" w:cs="华文楷体"/>
                <w:sz w:val="24"/>
              </w:rPr>
            </w:pPr>
            <w:r>
              <w:rPr>
                <w:rFonts w:hint="eastAsia" w:ascii="华文楷体" w:hAnsi="华文楷体" w:eastAsia="华文楷体" w:cs="华文楷体"/>
                <w:sz w:val="24"/>
              </w:rPr>
              <w:t>6分</w:t>
            </w:r>
          </w:p>
        </w:tc>
        <w:tc>
          <w:tcPr>
            <w:tcW w:w="851" w:type="dxa"/>
          </w:tcPr>
          <w:p w14:paraId="6376C5C6">
            <w:pPr>
              <w:spacing w:line="360" w:lineRule="exact"/>
              <w:jc w:val="center"/>
              <w:rPr>
                <w:rFonts w:hint="eastAsia" w:ascii="华文楷体" w:hAnsi="华文楷体" w:eastAsia="华文楷体" w:cs="华文楷体"/>
                <w:sz w:val="24"/>
              </w:rPr>
            </w:pPr>
          </w:p>
        </w:tc>
      </w:tr>
      <w:tr w14:paraId="1B421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17" w:type="dxa"/>
            <w:gridSpan w:val="2"/>
            <w:vMerge w:val="continue"/>
          </w:tcPr>
          <w:p w14:paraId="2B3C61A9">
            <w:pPr>
              <w:spacing w:line="360" w:lineRule="exact"/>
              <w:jc w:val="center"/>
              <w:rPr>
                <w:rFonts w:hint="eastAsia" w:ascii="华文楷体" w:hAnsi="华文楷体" w:eastAsia="华文楷体" w:cs="华文楷体"/>
                <w:b/>
                <w:bCs/>
                <w:sz w:val="24"/>
              </w:rPr>
            </w:pPr>
          </w:p>
        </w:tc>
        <w:tc>
          <w:tcPr>
            <w:tcW w:w="1276" w:type="dxa"/>
            <w:vMerge w:val="continue"/>
          </w:tcPr>
          <w:p w14:paraId="63CC1306">
            <w:pPr>
              <w:spacing w:line="360" w:lineRule="exact"/>
              <w:jc w:val="center"/>
              <w:rPr>
                <w:rFonts w:hint="eastAsia" w:ascii="华文楷体" w:hAnsi="华文楷体" w:eastAsia="华文楷体" w:cs="华文楷体"/>
                <w:b/>
                <w:bCs/>
                <w:sz w:val="24"/>
              </w:rPr>
            </w:pPr>
          </w:p>
        </w:tc>
        <w:tc>
          <w:tcPr>
            <w:tcW w:w="10348" w:type="dxa"/>
          </w:tcPr>
          <w:p w14:paraId="79564F77">
            <w:pPr>
              <w:spacing w:line="360" w:lineRule="exact"/>
              <w:rPr>
                <w:rFonts w:hint="eastAsia" w:ascii="华文楷体" w:hAnsi="华文楷体" w:eastAsia="华文楷体" w:cs="华文楷体"/>
                <w:sz w:val="24"/>
              </w:rPr>
            </w:pPr>
            <w:r>
              <w:rPr>
                <w:rFonts w:hint="eastAsia" w:ascii="华文楷体" w:hAnsi="华文楷体" w:eastAsia="华文楷体" w:cs="华文楷体"/>
                <w:sz w:val="24"/>
              </w:rPr>
              <w:t>（5）进行机械（特别是旋转机械）作业时长发人员未戴工作帽，工作场所人员系长围巾、戴领带、戴手镯等配饰物。</w:t>
            </w:r>
          </w:p>
        </w:tc>
        <w:tc>
          <w:tcPr>
            <w:tcW w:w="850" w:type="dxa"/>
            <w:vAlign w:val="center"/>
          </w:tcPr>
          <w:p w14:paraId="4FFED565">
            <w:pPr>
              <w:spacing w:line="360" w:lineRule="exact"/>
              <w:jc w:val="center"/>
              <w:rPr>
                <w:rFonts w:hint="eastAsia" w:ascii="华文楷体" w:hAnsi="华文楷体" w:eastAsia="华文楷体" w:cs="华文楷体"/>
                <w:sz w:val="24"/>
              </w:rPr>
            </w:pPr>
            <w:r>
              <w:rPr>
                <w:rFonts w:hint="eastAsia" w:ascii="华文楷体" w:hAnsi="华文楷体" w:eastAsia="华文楷体" w:cs="华文楷体"/>
                <w:sz w:val="24"/>
              </w:rPr>
              <w:t>4分</w:t>
            </w:r>
          </w:p>
        </w:tc>
        <w:tc>
          <w:tcPr>
            <w:tcW w:w="851" w:type="dxa"/>
          </w:tcPr>
          <w:p w14:paraId="33B5D5C6">
            <w:pPr>
              <w:spacing w:line="360" w:lineRule="exact"/>
              <w:jc w:val="center"/>
              <w:rPr>
                <w:rFonts w:hint="eastAsia" w:ascii="华文楷体" w:hAnsi="华文楷体" w:eastAsia="华文楷体" w:cs="华文楷体"/>
                <w:sz w:val="24"/>
              </w:rPr>
            </w:pPr>
          </w:p>
        </w:tc>
      </w:tr>
      <w:tr w14:paraId="2F26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17" w:type="dxa"/>
            <w:gridSpan w:val="2"/>
            <w:vMerge w:val="restart"/>
          </w:tcPr>
          <w:p w14:paraId="2DAB74B3">
            <w:pPr>
              <w:spacing w:line="360" w:lineRule="exact"/>
              <w:jc w:val="center"/>
              <w:rPr>
                <w:rFonts w:hint="eastAsia" w:ascii="华文楷体" w:hAnsi="华文楷体" w:eastAsia="华文楷体" w:cs="华文楷体"/>
                <w:b/>
                <w:bCs/>
                <w:sz w:val="24"/>
              </w:rPr>
            </w:pPr>
          </w:p>
          <w:p w14:paraId="2CE41B46">
            <w:pPr>
              <w:spacing w:line="360" w:lineRule="exact"/>
              <w:jc w:val="center"/>
              <w:rPr>
                <w:rFonts w:hint="eastAsia" w:ascii="华文楷体" w:hAnsi="华文楷体" w:eastAsia="华文楷体" w:cs="华文楷体"/>
                <w:b/>
                <w:bCs/>
                <w:sz w:val="24"/>
              </w:rPr>
            </w:pPr>
          </w:p>
          <w:p w14:paraId="26C84374">
            <w:pPr>
              <w:spacing w:line="360" w:lineRule="exact"/>
              <w:jc w:val="center"/>
              <w:rPr>
                <w:rFonts w:hint="eastAsia" w:ascii="华文楷体" w:hAnsi="华文楷体" w:eastAsia="华文楷体" w:cs="华文楷体"/>
                <w:b/>
                <w:bCs/>
                <w:sz w:val="24"/>
              </w:rPr>
            </w:pPr>
            <w:r>
              <w:rPr>
                <w:rFonts w:hint="eastAsia" w:ascii="华文楷体" w:hAnsi="华文楷体" w:eastAsia="华文楷体" w:cs="华文楷体"/>
                <w:b/>
                <w:bCs/>
                <w:sz w:val="24"/>
              </w:rPr>
              <w:t>12</w:t>
            </w:r>
          </w:p>
        </w:tc>
        <w:tc>
          <w:tcPr>
            <w:tcW w:w="1276" w:type="dxa"/>
            <w:vMerge w:val="restart"/>
          </w:tcPr>
          <w:p w14:paraId="3475B633">
            <w:pPr>
              <w:spacing w:line="360" w:lineRule="exact"/>
              <w:jc w:val="center"/>
              <w:rPr>
                <w:rFonts w:hint="eastAsia" w:ascii="华文楷体" w:hAnsi="华文楷体" w:eastAsia="华文楷体" w:cs="华文楷体"/>
                <w:b/>
                <w:bCs/>
                <w:color w:val="FF0000"/>
                <w:sz w:val="24"/>
              </w:rPr>
            </w:pPr>
          </w:p>
          <w:p w14:paraId="5ED252C5">
            <w:pPr>
              <w:spacing w:line="360" w:lineRule="exact"/>
              <w:jc w:val="center"/>
              <w:rPr>
                <w:rFonts w:hint="eastAsia" w:ascii="华文楷体" w:hAnsi="华文楷体" w:eastAsia="华文楷体" w:cs="华文楷体"/>
                <w:b/>
                <w:bCs/>
                <w:color w:val="FF0000"/>
                <w:sz w:val="24"/>
              </w:rPr>
            </w:pPr>
          </w:p>
          <w:p w14:paraId="2E0FFE36">
            <w:pPr>
              <w:spacing w:line="360" w:lineRule="exact"/>
              <w:jc w:val="center"/>
              <w:rPr>
                <w:rFonts w:hint="eastAsia" w:ascii="华文楷体" w:hAnsi="华文楷体" w:eastAsia="华文楷体" w:cs="华文楷体"/>
                <w:b/>
                <w:bCs/>
                <w:sz w:val="24"/>
              </w:rPr>
            </w:pPr>
            <w:r>
              <w:rPr>
                <w:rFonts w:hint="eastAsia" w:ascii="华文楷体" w:hAnsi="华文楷体" w:eastAsia="华文楷体" w:cs="华文楷体"/>
                <w:b/>
                <w:bCs/>
                <w:sz w:val="24"/>
              </w:rPr>
              <w:t>动物及病原微生物</w:t>
            </w:r>
          </w:p>
        </w:tc>
        <w:tc>
          <w:tcPr>
            <w:tcW w:w="10348" w:type="dxa"/>
          </w:tcPr>
          <w:p w14:paraId="1AEC8826">
            <w:pPr>
              <w:spacing w:line="360" w:lineRule="exact"/>
              <w:rPr>
                <w:rFonts w:hint="eastAsia" w:ascii="华文楷体" w:hAnsi="华文楷体" w:eastAsia="华文楷体" w:cs="华文楷体"/>
                <w:sz w:val="24"/>
              </w:rPr>
            </w:pPr>
            <w:r>
              <w:rPr>
                <w:rFonts w:hint="eastAsia" w:ascii="华文楷体" w:hAnsi="华文楷体" w:eastAsia="华文楷体" w:cs="华文楷体"/>
                <w:sz w:val="24"/>
              </w:rPr>
              <w:t>（1）采购高致病性病原微生物菌（毒）种，须报学校审批，经行业主管部门批准。存在未批未报备现象。</w:t>
            </w:r>
          </w:p>
        </w:tc>
        <w:tc>
          <w:tcPr>
            <w:tcW w:w="850" w:type="dxa"/>
            <w:vAlign w:val="center"/>
          </w:tcPr>
          <w:p w14:paraId="0B6A4DF2">
            <w:pPr>
              <w:spacing w:line="360" w:lineRule="exact"/>
              <w:jc w:val="center"/>
              <w:rPr>
                <w:rFonts w:hint="eastAsia" w:ascii="华文楷体" w:hAnsi="华文楷体" w:eastAsia="华文楷体" w:cs="华文楷体"/>
                <w:b/>
                <w:sz w:val="24"/>
              </w:rPr>
            </w:pPr>
            <w:r>
              <w:rPr>
                <w:rFonts w:ascii="华文楷体" w:hAnsi="华文楷体" w:eastAsia="华文楷体" w:cs="华文楷体"/>
                <w:b/>
                <w:sz w:val="24"/>
              </w:rPr>
              <w:t>12分</w:t>
            </w:r>
          </w:p>
        </w:tc>
        <w:tc>
          <w:tcPr>
            <w:tcW w:w="851" w:type="dxa"/>
          </w:tcPr>
          <w:p w14:paraId="1C25A41E">
            <w:pPr>
              <w:spacing w:line="360" w:lineRule="exact"/>
              <w:jc w:val="center"/>
              <w:rPr>
                <w:rFonts w:hint="eastAsia" w:ascii="华文楷体" w:hAnsi="华文楷体" w:eastAsia="华文楷体" w:cs="华文楷体"/>
                <w:b/>
                <w:sz w:val="24"/>
              </w:rPr>
            </w:pPr>
            <w:r>
              <w:rPr>
                <w:rFonts w:hint="eastAsia" w:ascii="华文楷体" w:hAnsi="华文楷体" w:eastAsia="华文楷体" w:cs="华文楷体"/>
                <w:b/>
                <w:sz w:val="24"/>
              </w:rPr>
              <w:t>封停整治</w:t>
            </w:r>
          </w:p>
        </w:tc>
      </w:tr>
      <w:tr w14:paraId="4B1F7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17" w:type="dxa"/>
            <w:gridSpan w:val="2"/>
            <w:vMerge w:val="continue"/>
          </w:tcPr>
          <w:p w14:paraId="7C5C4C15">
            <w:pPr>
              <w:spacing w:line="360" w:lineRule="exact"/>
              <w:jc w:val="center"/>
              <w:rPr>
                <w:rFonts w:hint="eastAsia" w:ascii="华文楷体" w:hAnsi="华文楷体" w:eastAsia="华文楷体" w:cs="华文楷体"/>
                <w:b/>
                <w:bCs/>
                <w:sz w:val="24"/>
              </w:rPr>
            </w:pPr>
          </w:p>
        </w:tc>
        <w:tc>
          <w:tcPr>
            <w:tcW w:w="1276" w:type="dxa"/>
            <w:vMerge w:val="continue"/>
          </w:tcPr>
          <w:p w14:paraId="5CCE1B67">
            <w:pPr>
              <w:spacing w:line="360" w:lineRule="exact"/>
              <w:jc w:val="center"/>
              <w:rPr>
                <w:rFonts w:hint="eastAsia" w:ascii="华文楷体" w:hAnsi="华文楷体" w:eastAsia="华文楷体" w:cs="华文楷体"/>
                <w:b/>
                <w:bCs/>
                <w:sz w:val="24"/>
              </w:rPr>
            </w:pPr>
          </w:p>
        </w:tc>
        <w:tc>
          <w:tcPr>
            <w:tcW w:w="10348" w:type="dxa"/>
          </w:tcPr>
          <w:p w14:paraId="2B8A0170">
            <w:pPr>
              <w:spacing w:line="360" w:lineRule="exact"/>
              <w:rPr>
                <w:rFonts w:hint="eastAsia" w:ascii="华文楷体" w:hAnsi="华文楷体" w:eastAsia="华文楷体" w:cs="华文楷体"/>
                <w:sz w:val="24"/>
              </w:rPr>
            </w:pPr>
            <w:r>
              <w:rPr>
                <w:rFonts w:hint="eastAsia" w:ascii="华文楷体" w:hAnsi="华文楷体" w:eastAsia="华文楷体" w:cs="华文楷体"/>
                <w:sz w:val="24"/>
              </w:rPr>
              <w:t>（2）自行分离高致病性病原微生物，必须报学校审批和备案，并报行业主管部门批准。存在未报未批就开展实验的现象。</w:t>
            </w:r>
          </w:p>
        </w:tc>
        <w:tc>
          <w:tcPr>
            <w:tcW w:w="850" w:type="dxa"/>
            <w:vAlign w:val="center"/>
          </w:tcPr>
          <w:p w14:paraId="60970684">
            <w:pPr>
              <w:spacing w:line="360" w:lineRule="exact"/>
              <w:jc w:val="center"/>
              <w:rPr>
                <w:rFonts w:hint="eastAsia" w:ascii="华文楷体" w:hAnsi="华文楷体" w:eastAsia="华文楷体" w:cs="华文楷体"/>
                <w:b/>
                <w:sz w:val="24"/>
              </w:rPr>
            </w:pPr>
            <w:r>
              <w:rPr>
                <w:rFonts w:ascii="华文楷体" w:hAnsi="华文楷体" w:eastAsia="华文楷体" w:cs="华文楷体"/>
                <w:b/>
                <w:sz w:val="24"/>
              </w:rPr>
              <w:t>12分</w:t>
            </w:r>
          </w:p>
        </w:tc>
        <w:tc>
          <w:tcPr>
            <w:tcW w:w="851" w:type="dxa"/>
          </w:tcPr>
          <w:p w14:paraId="13F56C9C">
            <w:pPr>
              <w:spacing w:line="360" w:lineRule="exact"/>
              <w:jc w:val="center"/>
              <w:rPr>
                <w:rFonts w:hint="eastAsia" w:ascii="华文楷体" w:hAnsi="华文楷体" w:eastAsia="华文楷体" w:cs="华文楷体"/>
                <w:b/>
                <w:sz w:val="24"/>
              </w:rPr>
            </w:pPr>
            <w:r>
              <w:rPr>
                <w:rFonts w:hint="eastAsia" w:ascii="华文楷体" w:hAnsi="华文楷体" w:eastAsia="华文楷体" w:cs="华文楷体"/>
                <w:b/>
                <w:sz w:val="24"/>
              </w:rPr>
              <w:t>封停整治</w:t>
            </w:r>
          </w:p>
        </w:tc>
      </w:tr>
      <w:tr w14:paraId="77385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17" w:type="dxa"/>
            <w:gridSpan w:val="2"/>
            <w:vMerge w:val="continue"/>
          </w:tcPr>
          <w:p w14:paraId="54875849">
            <w:pPr>
              <w:spacing w:line="360" w:lineRule="exact"/>
              <w:jc w:val="center"/>
              <w:rPr>
                <w:rFonts w:hint="eastAsia" w:ascii="华文楷体" w:hAnsi="华文楷体" w:eastAsia="华文楷体" w:cs="华文楷体"/>
                <w:b/>
                <w:bCs/>
                <w:sz w:val="24"/>
              </w:rPr>
            </w:pPr>
          </w:p>
        </w:tc>
        <w:tc>
          <w:tcPr>
            <w:tcW w:w="1276" w:type="dxa"/>
            <w:vMerge w:val="continue"/>
          </w:tcPr>
          <w:p w14:paraId="1B44593D">
            <w:pPr>
              <w:spacing w:line="360" w:lineRule="exact"/>
              <w:jc w:val="center"/>
              <w:rPr>
                <w:rFonts w:hint="eastAsia" w:ascii="华文楷体" w:hAnsi="华文楷体" w:eastAsia="华文楷体" w:cs="华文楷体"/>
                <w:b/>
                <w:bCs/>
                <w:sz w:val="24"/>
              </w:rPr>
            </w:pPr>
          </w:p>
        </w:tc>
        <w:tc>
          <w:tcPr>
            <w:tcW w:w="10348" w:type="dxa"/>
          </w:tcPr>
          <w:p w14:paraId="45B372F5">
            <w:pPr>
              <w:spacing w:line="360" w:lineRule="exact"/>
              <w:rPr>
                <w:rFonts w:hint="eastAsia" w:ascii="华文楷体" w:hAnsi="华文楷体" w:eastAsia="华文楷体" w:cs="华文楷体"/>
                <w:sz w:val="24"/>
              </w:rPr>
            </w:pPr>
            <w:r>
              <w:rPr>
                <w:rFonts w:hint="eastAsia" w:ascii="华文楷体" w:hAnsi="华文楷体" w:eastAsia="华文楷体" w:cs="华文楷体"/>
                <w:sz w:val="24"/>
              </w:rPr>
              <w:t>（3）开展病原微生物（高致病、低致病等）实验必须在相应的安全等级实验室中进行。没有相应实验室条件就开展实验的现象。</w:t>
            </w:r>
          </w:p>
        </w:tc>
        <w:tc>
          <w:tcPr>
            <w:tcW w:w="850" w:type="dxa"/>
            <w:vAlign w:val="center"/>
          </w:tcPr>
          <w:p w14:paraId="39443BEF">
            <w:pPr>
              <w:spacing w:line="360" w:lineRule="exact"/>
              <w:jc w:val="center"/>
              <w:rPr>
                <w:rFonts w:hint="eastAsia" w:ascii="华文楷体" w:hAnsi="华文楷体" w:eastAsia="华文楷体" w:cs="华文楷体"/>
                <w:b/>
                <w:sz w:val="24"/>
              </w:rPr>
            </w:pPr>
            <w:r>
              <w:rPr>
                <w:rFonts w:ascii="华文楷体" w:hAnsi="华文楷体" w:eastAsia="华文楷体" w:cs="华文楷体"/>
                <w:b/>
                <w:sz w:val="24"/>
              </w:rPr>
              <w:t>12分</w:t>
            </w:r>
          </w:p>
        </w:tc>
        <w:tc>
          <w:tcPr>
            <w:tcW w:w="851" w:type="dxa"/>
          </w:tcPr>
          <w:p w14:paraId="709F7018">
            <w:pPr>
              <w:spacing w:line="360" w:lineRule="exact"/>
              <w:jc w:val="center"/>
              <w:rPr>
                <w:rFonts w:hint="eastAsia" w:ascii="华文楷体" w:hAnsi="华文楷体" w:eastAsia="华文楷体" w:cs="华文楷体"/>
                <w:b/>
                <w:sz w:val="24"/>
              </w:rPr>
            </w:pPr>
            <w:r>
              <w:rPr>
                <w:rFonts w:hint="eastAsia" w:ascii="华文楷体" w:hAnsi="华文楷体" w:eastAsia="华文楷体" w:cs="华文楷体"/>
                <w:b/>
                <w:sz w:val="24"/>
              </w:rPr>
              <w:t>封停整治</w:t>
            </w:r>
          </w:p>
        </w:tc>
      </w:tr>
      <w:tr w14:paraId="70B33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17" w:type="dxa"/>
            <w:gridSpan w:val="2"/>
            <w:vMerge w:val="continue"/>
          </w:tcPr>
          <w:p w14:paraId="6EB58D9F">
            <w:pPr>
              <w:spacing w:line="360" w:lineRule="exact"/>
              <w:jc w:val="center"/>
              <w:rPr>
                <w:rFonts w:hint="eastAsia" w:ascii="华文楷体" w:hAnsi="华文楷体" w:eastAsia="华文楷体" w:cs="华文楷体"/>
                <w:b/>
                <w:bCs/>
                <w:sz w:val="24"/>
              </w:rPr>
            </w:pPr>
          </w:p>
        </w:tc>
        <w:tc>
          <w:tcPr>
            <w:tcW w:w="1276" w:type="dxa"/>
            <w:vMerge w:val="continue"/>
          </w:tcPr>
          <w:p w14:paraId="5EE3F56D">
            <w:pPr>
              <w:spacing w:line="360" w:lineRule="exact"/>
              <w:jc w:val="center"/>
              <w:rPr>
                <w:rFonts w:hint="eastAsia" w:ascii="华文楷体" w:hAnsi="华文楷体" w:eastAsia="华文楷体" w:cs="华文楷体"/>
                <w:b/>
                <w:bCs/>
                <w:sz w:val="24"/>
              </w:rPr>
            </w:pPr>
          </w:p>
        </w:tc>
        <w:tc>
          <w:tcPr>
            <w:tcW w:w="10348" w:type="dxa"/>
          </w:tcPr>
          <w:p w14:paraId="49212676">
            <w:pPr>
              <w:spacing w:line="360" w:lineRule="exact"/>
              <w:rPr>
                <w:rFonts w:hint="eastAsia" w:ascii="华文楷体" w:hAnsi="华文楷体" w:eastAsia="华文楷体" w:cs="华文楷体"/>
                <w:sz w:val="24"/>
              </w:rPr>
            </w:pPr>
            <w:r>
              <w:rPr>
                <w:rFonts w:hint="eastAsia" w:ascii="华文楷体" w:hAnsi="华文楷体" w:eastAsia="华文楷体" w:cs="华文楷体"/>
                <w:sz w:val="24"/>
              </w:rPr>
              <w:t>（4）病原微生物菌（毒）种保存在带锁冰箱或柜子中，高致病性病原微生物实行双人双锁管理。在实验过程中没有保存实验使用记录或存在销毁记录的现象。</w:t>
            </w:r>
          </w:p>
        </w:tc>
        <w:tc>
          <w:tcPr>
            <w:tcW w:w="850" w:type="dxa"/>
            <w:vAlign w:val="center"/>
          </w:tcPr>
          <w:p w14:paraId="47FAA3D2">
            <w:pPr>
              <w:spacing w:line="360" w:lineRule="exact"/>
              <w:jc w:val="center"/>
              <w:rPr>
                <w:rFonts w:hint="eastAsia" w:ascii="华文楷体" w:hAnsi="华文楷体" w:eastAsia="华文楷体" w:cs="华文楷体"/>
                <w:sz w:val="24"/>
              </w:rPr>
            </w:pPr>
            <w:r>
              <w:rPr>
                <w:rFonts w:hint="eastAsia" w:ascii="华文楷体" w:hAnsi="华文楷体" w:eastAsia="华文楷体" w:cs="华文楷体"/>
                <w:sz w:val="24"/>
              </w:rPr>
              <w:t>6分</w:t>
            </w:r>
          </w:p>
        </w:tc>
        <w:tc>
          <w:tcPr>
            <w:tcW w:w="851" w:type="dxa"/>
          </w:tcPr>
          <w:p w14:paraId="0CA29E13">
            <w:pPr>
              <w:spacing w:line="360" w:lineRule="exact"/>
              <w:jc w:val="center"/>
              <w:rPr>
                <w:rFonts w:hint="eastAsia" w:ascii="华文楷体" w:hAnsi="华文楷体" w:eastAsia="华文楷体" w:cs="华文楷体"/>
                <w:sz w:val="24"/>
              </w:rPr>
            </w:pPr>
          </w:p>
        </w:tc>
      </w:tr>
      <w:tr w14:paraId="5E6D9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17" w:type="dxa"/>
            <w:gridSpan w:val="2"/>
          </w:tcPr>
          <w:p w14:paraId="2BE6534A">
            <w:pPr>
              <w:spacing w:line="360" w:lineRule="exact"/>
              <w:jc w:val="center"/>
              <w:rPr>
                <w:rFonts w:hint="eastAsia" w:ascii="华文楷体" w:hAnsi="华文楷体" w:eastAsia="华文楷体" w:cs="华文楷体"/>
                <w:b/>
                <w:bCs/>
                <w:sz w:val="24"/>
              </w:rPr>
            </w:pPr>
          </w:p>
        </w:tc>
        <w:tc>
          <w:tcPr>
            <w:tcW w:w="1276" w:type="dxa"/>
          </w:tcPr>
          <w:p w14:paraId="1EDA3799">
            <w:pPr>
              <w:spacing w:line="360" w:lineRule="exact"/>
              <w:jc w:val="center"/>
              <w:rPr>
                <w:rFonts w:hint="eastAsia" w:ascii="华文楷体" w:hAnsi="华文楷体" w:eastAsia="华文楷体" w:cs="华文楷体"/>
                <w:b/>
                <w:bCs/>
                <w:sz w:val="24"/>
              </w:rPr>
            </w:pPr>
          </w:p>
        </w:tc>
        <w:tc>
          <w:tcPr>
            <w:tcW w:w="10348" w:type="dxa"/>
          </w:tcPr>
          <w:p w14:paraId="306EAFA6">
            <w:pPr>
              <w:spacing w:before="156" w:beforeLines="50" w:line="360" w:lineRule="exact"/>
              <w:rPr>
                <w:rFonts w:hint="eastAsia" w:ascii="华文楷体" w:hAnsi="华文楷体" w:eastAsia="华文楷体" w:cs="华文楷体"/>
                <w:sz w:val="24"/>
              </w:rPr>
            </w:pPr>
            <w:r>
              <w:rPr>
                <w:rFonts w:hint="eastAsia" w:ascii="华文楷体" w:hAnsi="华文楷体" w:eastAsia="华文楷体" w:cs="华文楷体"/>
                <w:sz w:val="24"/>
              </w:rPr>
              <w:t>（</w:t>
            </w:r>
            <w:r>
              <w:rPr>
                <w:rFonts w:ascii="华文楷体" w:hAnsi="华文楷体" w:eastAsia="华文楷体" w:cs="华文楷体"/>
                <w:sz w:val="24"/>
              </w:rPr>
              <w:t>5）未经批准或未取得实验动物使用许可证私自开展动物饲养和动物实验。</w:t>
            </w:r>
          </w:p>
        </w:tc>
        <w:tc>
          <w:tcPr>
            <w:tcW w:w="850" w:type="dxa"/>
            <w:vAlign w:val="center"/>
          </w:tcPr>
          <w:p w14:paraId="09B1ADD4">
            <w:pPr>
              <w:spacing w:line="360" w:lineRule="exact"/>
              <w:jc w:val="center"/>
              <w:rPr>
                <w:rFonts w:hint="eastAsia" w:ascii="华文楷体" w:hAnsi="华文楷体" w:eastAsia="华文楷体" w:cs="华文楷体"/>
                <w:b/>
                <w:sz w:val="24"/>
              </w:rPr>
            </w:pPr>
            <w:r>
              <w:rPr>
                <w:rFonts w:ascii="华文楷体" w:hAnsi="华文楷体" w:eastAsia="华文楷体" w:cs="华文楷体"/>
                <w:b/>
                <w:sz w:val="24"/>
              </w:rPr>
              <w:t>12分</w:t>
            </w:r>
          </w:p>
        </w:tc>
        <w:tc>
          <w:tcPr>
            <w:tcW w:w="851" w:type="dxa"/>
          </w:tcPr>
          <w:p w14:paraId="245F4EF7">
            <w:pPr>
              <w:spacing w:line="360" w:lineRule="exact"/>
              <w:jc w:val="center"/>
              <w:rPr>
                <w:rFonts w:hint="eastAsia" w:ascii="华文楷体" w:hAnsi="华文楷体" w:eastAsia="华文楷体" w:cs="华文楷体"/>
                <w:b/>
                <w:sz w:val="24"/>
              </w:rPr>
            </w:pPr>
            <w:r>
              <w:rPr>
                <w:rFonts w:hint="eastAsia" w:ascii="华文楷体" w:hAnsi="华文楷体" w:eastAsia="华文楷体" w:cs="华文楷体"/>
                <w:b/>
                <w:sz w:val="24"/>
              </w:rPr>
              <w:t>封停整治</w:t>
            </w:r>
          </w:p>
        </w:tc>
      </w:tr>
      <w:tr w14:paraId="130BB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17" w:type="dxa"/>
            <w:gridSpan w:val="2"/>
          </w:tcPr>
          <w:p w14:paraId="3DD3D4F4">
            <w:pPr>
              <w:spacing w:line="360" w:lineRule="exact"/>
              <w:jc w:val="center"/>
              <w:rPr>
                <w:rFonts w:hint="eastAsia" w:ascii="华文楷体" w:hAnsi="华文楷体" w:eastAsia="华文楷体" w:cs="华文楷体"/>
                <w:b/>
                <w:bCs/>
                <w:sz w:val="24"/>
              </w:rPr>
            </w:pPr>
          </w:p>
        </w:tc>
        <w:tc>
          <w:tcPr>
            <w:tcW w:w="1276" w:type="dxa"/>
          </w:tcPr>
          <w:p w14:paraId="22E87215">
            <w:pPr>
              <w:spacing w:line="360" w:lineRule="exact"/>
              <w:jc w:val="center"/>
              <w:rPr>
                <w:rFonts w:hint="eastAsia" w:ascii="华文楷体" w:hAnsi="华文楷体" w:eastAsia="华文楷体" w:cs="华文楷体"/>
                <w:b/>
                <w:bCs/>
                <w:sz w:val="24"/>
              </w:rPr>
            </w:pPr>
          </w:p>
        </w:tc>
        <w:tc>
          <w:tcPr>
            <w:tcW w:w="10348" w:type="dxa"/>
          </w:tcPr>
          <w:p w14:paraId="3FDD3BB9">
            <w:pPr>
              <w:spacing w:before="156" w:beforeLines="50" w:line="360" w:lineRule="exact"/>
              <w:rPr>
                <w:rFonts w:hint="eastAsia" w:ascii="华文楷体" w:hAnsi="华文楷体" w:eastAsia="华文楷体" w:cs="华文楷体"/>
                <w:sz w:val="24"/>
              </w:rPr>
            </w:pPr>
            <w:r>
              <w:rPr>
                <w:rFonts w:hint="eastAsia" w:ascii="华文楷体" w:hAnsi="华文楷体" w:eastAsia="华文楷体" w:cs="华文楷体"/>
                <w:sz w:val="24"/>
              </w:rPr>
              <w:t>（</w:t>
            </w:r>
            <w:r>
              <w:rPr>
                <w:rFonts w:ascii="华文楷体" w:hAnsi="华文楷体" w:eastAsia="华文楷体" w:cs="华文楷体"/>
                <w:sz w:val="24"/>
              </w:rPr>
              <w:t>6）涉及病原或高致病性微生物废弃物未进行高温高压灭菌或化学浸泡就移送处置现象。</w:t>
            </w:r>
          </w:p>
        </w:tc>
        <w:tc>
          <w:tcPr>
            <w:tcW w:w="850" w:type="dxa"/>
            <w:vAlign w:val="center"/>
          </w:tcPr>
          <w:p w14:paraId="25BD8D99">
            <w:pPr>
              <w:spacing w:line="360" w:lineRule="exact"/>
              <w:jc w:val="center"/>
              <w:rPr>
                <w:rFonts w:hint="eastAsia" w:ascii="华文楷体" w:hAnsi="华文楷体" w:eastAsia="华文楷体" w:cs="华文楷体"/>
                <w:b/>
                <w:sz w:val="24"/>
              </w:rPr>
            </w:pPr>
            <w:r>
              <w:rPr>
                <w:rFonts w:ascii="华文楷体" w:hAnsi="华文楷体" w:eastAsia="华文楷体" w:cs="华文楷体"/>
                <w:b/>
                <w:sz w:val="24"/>
              </w:rPr>
              <w:t>12分</w:t>
            </w:r>
          </w:p>
        </w:tc>
        <w:tc>
          <w:tcPr>
            <w:tcW w:w="851" w:type="dxa"/>
          </w:tcPr>
          <w:p w14:paraId="44246EC7">
            <w:pPr>
              <w:spacing w:line="360" w:lineRule="exact"/>
              <w:jc w:val="center"/>
              <w:rPr>
                <w:rFonts w:hint="eastAsia" w:ascii="华文楷体" w:hAnsi="华文楷体" w:eastAsia="华文楷体" w:cs="华文楷体"/>
                <w:b/>
                <w:sz w:val="24"/>
              </w:rPr>
            </w:pPr>
            <w:r>
              <w:rPr>
                <w:rFonts w:hint="eastAsia" w:ascii="华文楷体" w:hAnsi="华文楷体" w:eastAsia="华文楷体" w:cs="华文楷体"/>
                <w:b/>
                <w:sz w:val="24"/>
              </w:rPr>
              <w:t>封停整治</w:t>
            </w:r>
          </w:p>
        </w:tc>
      </w:tr>
      <w:tr w14:paraId="61E24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17" w:type="dxa"/>
            <w:gridSpan w:val="2"/>
          </w:tcPr>
          <w:p w14:paraId="267886C7">
            <w:pPr>
              <w:spacing w:before="156" w:beforeLines="50" w:line="360" w:lineRule="exact"/>
              <w:jc w:val="center"/>
              <w:rPr>
                <w:rFonts w:hint="eastAsia" w:ascii="华文楷体" w:hAnsi="华文楷体" w:eastAsia="华文楷体" w:cs="华文楷体"/>
                <w:b/>
                <w:bCs/>
                <w:sz w:val="24"/>
              </w:rPr>
            </w:pPr>
            <w:r>
              <w:rPr>
                <w:rFonts w:hint="eastAsia" w:ascii="华文楷体" w:hAnsi="华文楷体" w:eastAsia="华文楷体" w:cs="华文楷体"/>
                <w:b/>
                <w:bCs/>
                <w:sz w:val="24"/>
              </w:rPr>
              <w:t>13</w:t>
            </w:r>
          </w:p>
        </w:tc>
        <w:tc>
          <w:tcPr>
            <w:tcW w:w="1276" w:type="dxa"/>
          </w:tcPr>
          <w:p w14:paraId="528B8356">
            <w:pPr>
              <w:spacing w:before="156" w:beforeLines="50" w:line="360" w:lineRule="exact"/>
              <w:jc w:val="center"/>
              <w:rPr>
                <w:rFonts w:hint="eastAsia" w:ascii="华文楷体" w:hAnsi="华文楷体" w:eastAsia="华文楷体" w:cs="华文楷体"/>
                <w:b/>
                <w:bCs/>
                <w:sz w:val="24"/>
              </w:rPr>
            </w:pPr>
            <w:r>
              <w:rPr>
                <w:rFonts w:hint="eastAsia" w:ascii="华文楷体" w:hAnsi="华文楷体" w:eastAsia="华文楷体" w:cs="华文楷体"/>
                <w:b/>
                <w:bCs/>
                <w:sz w:val="24"/>
              </w:rPr>
              <w:t>实验离岗</w:t>
            </w:r>
          </w:p>
        </w:tc>
        <w:tc>
          <w:tcPr>
            <w:tcW w:w="10348" w:type="dxa"/>
            <w:vAlign w:val="center"/>
          </w:tcPr>
          <w:p w14:paraId="74F8D5B3">
            <w:pPr>
              <w:spacing w:line="360" w:lineRule="exact"/>
              <w:rPr>
                <w:rFonts w:hint="eastAsia" w:ascii="华文楷体" w:hAnsi="华文楷体" w:eastAsia="华文楷体" w:cs="华文楷体"/>
                <w:sz w:val="24"/>
              </w:rPr>
            </w:pPr>
            <w:r>
              <w:rPr>
                <w:rFonts w:hint="eastAsia" w:ascii="华文楷体" w:hAnsi="华文楷体" w:eastAsia="华文楷体" w:cs="华文楷体"/>
                <w:sz w:val="24"/>
              </w:rPr>
              <w:t>根据实验反应情况存在安全风险须有人值守的实验，在实验过程中存在人员离岗现象。</w:t>
            </w:r>
          </w:p>
        </w:tc>
        <w:tc>
          <w:tcPr>
            <w:tcW w:w="850" w:type="dxa"/>
            <w:vAlign w:val="center"/>
          </w:tcPr>
          <w:p w14:paraId="4599C3DC">
            <w:pPr>
              <w:spacing w:line="360" w:lineRule="exact"/>
              <w:jc w:val="center"/>
              <w:rPr>
                <w:rFonts w:hint="eastAsia" w:ascii="华文楷体" w:hAnsi="华文楷体" w:eastAsia="华文楷体" w:cs="华文楷体"/>
                <w:b/>
              </w:rPr>
            </w:pPr>
            <w:r>
              <w:rPr>
                <w:rFonts w:hint="eastAsia" w:ascii="华文楷体" w:hAnsi="华文楷体" w:eastAsia="华文楷体" w:cs="华文楷体"/>
                <w:sz w:val="24"/>
              </w:rPr>
              <w:t>6分</w:t>
            </w:r>
          </w:p>
        </w:tc>
        <w:tc>
          <w:tcPr>
            <w:tcW w:w="851" w:type="dxa"/>
          </w:tcPr>
          <w:p w14:paraId="63C29B8B">
            <w:pPr>
              <w:spacing w:line="360" w:lineRule="exact"/>
              <w:jc w:val="center"/>
              <w:rPr>
                <w:rFonts w:hint="eastAsia" w:ascii="华文楷体" w:hAnsi="华文楷体" w:eastAsia="华文楷体" w:cs="华文楷体"/>
                <w:sz w:val="24"/>
              </w:rPr>
            </w:pPr>
          </w:p>
        </w:tc>
      </w:tr>
      <w:tr w14:paraId="0F12A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817" w:type="dxa"/>
            <w:gridSpan w:val="2"/>
            <w:vMerge w:val="restart"/>
          </w:tcPr>
          <w:p w14:paraId="1E3D36F1">
            <w:pPr>
              <w:spacing w:line="360" w:lineRule="exact"/>
              <w:jc w:val="center"/>
              <w:rPr>
                <w:rFonts w:hint="eastAsia" w:ascii="华文楷体" w:hAnsi="华文楷体" w:eastAsia="华文楷体" w:cs="华文楷体"/>
                <w:b/>
                <w:bCs/>
                <w:sz w:val="24"/>
              </w:rPr>
            </w:pPr>
          </w:p>
          <w:p w14:paraId="79E9518F">
            <w:pPr>
              <w:spacing w:line="360" w:lineRule="exact"/>
              <w:jc w:val="center"/>
              <w:rPr>
                <w:rFonts w:hint="eastAsia" w:ascii="华文楷体" w:hAnsi="华文楷体" w:eastAsia="华文楷体" w:cs="华文楷体"/>
                <w:b/>
                <w:bCs/>
                <w:sz w:val="24"/>
              </w:rPr>
            </w:pPr>
          </w:p>
          <w:p w14:paraId="6D3D7DA9">
            <w:pPr>
              <w:spacing w:line="360" w:lineRule="exact"/>
              <w:jc w:val="center"/>
              <w:rPr>
                <w:rFonts w:hint="eastAsia" w:ascii="华文楷体" w:hAnsi="华文楷体" w:eastAsia="华文楷体" w:cs="华文楷体"/>
                <w:b/>
                <w:bCs/>
                <w:sz w:val="24"/>
              </w:rPr>
            </w:pPr>
          </w:p>
          <w:p w14:paraId="75C7EFE1">
            <w:pPr>
              <w:spacing w:line="360" w:lineRule="exact"/>
              <w:jc w:val="center"/>
              <w:rPr>
                <w:rFonts w:hint="eastAsia" w:ascii="华文楷体" w:hAnsi="华文楷体" w:eastAsia="华文楷体" w:cs="华文楷体"/>
                <w:b/>
                <w:bCs/>
                <w:sz w:val="24"/>
              </w:rPr>
            </w:pPr>
            <w:r>
              <w:rPr>
                <w:rFonts w:hint="eastAsia" w:ascii="华文楷体" w:hAnsi="华文楷体" w:eastAsia="华文楷体" w:cs="华文楷体"/>
                <w:b/>
                <w:bCs/>
                <w:sz w:val="24"/>
              </w:rPr>
              <w:t>14</w:t>
            </w:r>
          </w:p>
        </w:tc>
        <w:tc>
          <w:tcPr>
            <w:tcW w:w="1276" w:type="dxa"/>
            <w:vMerge w:val="restart"/>
          </w:tcPr>
          <w:p w14:paraId="3FC90FCB">
            <w:pPr>
              <w:spacing w:line="360" w:lineRule="exact"/>
              <w:jc w:val="center"/>
              <w:rPr>
                <w:rFonts w:hint="eastAsia" w:ascii="华文楷体" w:hAnsi="华文楷体" w:eastAsia="华文楷体" w:cs="华文楷体"/>
                <w:b/>
                <w:bCs/>
                <w:sz w:val="24"/>
              </w:rPr>
            </w:pPr>
          </w:p>
          <w:p w14:paraId="5640F7BB">
            <w:pPr>
              <w:spacing w:line="360" w:lineRule="exact"/>
              <w:jc w:val="center"/>
              <w:rPr>
                <w:rFonts w:hint="eastAsia" w:ascii="华文楷体" w:hAnsi="华文楷体" w:eastAsia="华文楷体" w:cs="华文楷体"/>
                <w:b/>
                <w:bCs/>
                <w:sz w:val="24"/>
              </w:rPr>
            </w:pPr>
          </w:p>
          <w:p w14:paraId="6E73C07F">
            <w:pPr>
              <w:spacing w:line="360" w:lineRule="exact"/>
              <w:jc w:val="center"/>
              <w:rPr>
                <w:rFonts w:hint="eastAsia" w:ascii="华文楷体" w:hAnsi="华文楷体" w:eastAsia="华文楷体" w:cs="华文楷体"/>
                <w:b/>
                <w:bCs/>
                <w:sz w:val="24"/>
              </w:rPr>
            </w:pPr>
          </w:p>
          <w:p w14:paraId="32D454E8">
            <w:pPr>
              <w:spacing w:line="360" w:lineRule="exact"/>
              <w:jc w:val="center"/>
              <w:rPr>
                <w:rFonts w:hint="eastAsia" w:ascii="华文楷体" w:hAnsi="华文楷体" w:eastAsia="华文楷体" w:cs="华文楷体"/>
                <w:b/>
                <w:bCs/>
                <w:sz w:val="24"/>
              </w:rPr>
            </w:pPr>
            <w:r>
              <w:rPr>
                <w:rFonts w:hint="eastAsia" w:ascii="华文楷体" w:hAnsi="华文楷体" w:eastAsia="华文楷体" w:cs="华文楷体"/>
                <w:b/>
                <w:bCs/>
                <w:sz w:val="24"/>
              </w:rPr>
              <w:t>其它</w:t>
            </w:r>
          </w:p>
        </w:tc>
        <w:tc>
          <w:tcPr>
            <w:tcW w:w="10348" w:type="dxa"/>
          </w:tcPr>
          <w:p w14:paraId="68E00ABB">
            <w:pPr>
              <w:spacing w:line="360" w:lineRule="exact"/>
              <w:rPr>
                <w:rFonts w:hint="eastAsia" w:ascii="华文楷体" w:hAnsi="华文楷体" w:eastAsia="华文楷体" w:cs="华文楷体"/>
                <w:sz w:val="24"/>
              </w:rPr>
            </w:pPr>
            <w:r>
              <w:rPr>
                <w:rFonts w:hint="eastAsia" w:ascii="华文楷体" w:hAnsi="华文楷体" w:eastAsia="华文楷体" w:cs="华文楷体"/>
                <w:sz w:val="24"/>
              </w:rPr>
              <w:t>（1）涉及外来人员（进修、企业外派或访问学者）进实验室存在没有审批和备案手续。</w:t>
            </w:r>
          </w:p>
        </w:tc>
        <w:tc>
          <w:tcPr>
            <w:tcW w:w="850" w:type="dxa"/>
            <w:vAlign w:val="center"/>
          </w:tcPr>
          <w:p w14:paraId="3D50E170">
            <w:pPr>
              <w:spacing w:line="360" w:lineRule="exact"/>
              <w:jc w:val="center"/>
              <w:rPr>
                <w:rFonts w:hint="eastAsia" w:ascii="华文楷体" w:hAnsi="华文楷体" w:eastAsia="华文楷体" w:cs="华文楷体"/>
                <w:sz w:val="24"/>
              </w:rPr>
            </w:pPr>
            <w:r>
              <w:rPr>
                <w:rFonts w:hint="eastAsia" w:ascii="华文楷体" w:hAnsi="华文楷体" w:eastAsia="华文楷体" w:cs="华文楷体"/>
                <w:sz w:val="24"/>
              </w:rPr>
              <w:t>6分</w:t>
            </w:r>
          </w:p>
        </w:tc>
        <w:tc>
          <w:tcPr>
            <w:tcW w:w="851" w:type="dxa"/>
          </w:tcPr>
          <w:p w14:paraId="0E011E10">
            <w:pPr>
              <w:spacing w:line="360" w:lineRule="exact"/>
              <w:jc w:val="center"/>
              <w:rPr>
                <w:rFonts w:hint="eastAsia" w:ascii="华文楷体" w:hAnsi="华文楷体" w:eastAsia="华文楷体" w:cs="华文楷体"/>
                <w:sz w:val="24"/>
              </w:rPr>
            </w:pPr>
          </w:p>
        </w:tc>
      </w:tr>
      <w:tr w14:paraId="5A1E8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17" w:type="dxa"/>
            <w:gridSpan w:val="2"/>
            <w:vMerge w:val="continue"/>
          </w:tcPr>
          <w:p w14:paraId="3EF464C6">
            <w:pPr>
              <w:spacing w:line="360" w:lineRule="exact"/>
              <w:jc w:val="center"/>
              <w:rPr>
                <w:rFonts w:hint="eastAsia" w:ascii="华文楷体" w:hAnsi="华文楷体" w:eastAsia="华文楷体" w:cs="华文楷体"/>
                <w:sz w:val="24"/>
              </w:rPr>
            </w:pPr>
          </w:p>
        </w:tc>
        <w:tc>
          <w:tcPr>
            <w:tcW w:w="1276" w:type="dxa"/>
            <w:vMerge w:val="continue"/>
          </w:tcPr>
          <w:p w14:paraId="3E0891ED">
            <w:pPr>
              <w:spacing w:line="360" w:lineRule="exact"/>
              <w:jc w:val="center"/>
              <w:rPr>
                <w:rFonts w:hint="eastAsia" w:ascii="华文楷体" w:hAnsi="华文楷体" w:eastAsia="华文楷体" w:cs="华文楷体"/>
                <w:sz w:val="24"/>
              </w:rPr>
            </w:pPr>
          </w:p>
        </w:tc>
        <w:tc>
          <w:tcPr>
            <w:tcW w:w="10348" w:type="dxa"/>
          </w:tcPr>
          <w:p w14:paraId="156740FB">
            <w:pPr>
              <w:spacing w:before="156" w:beforeLines="50" w:line="360" w:lineRule="exact"/>
              <w:rPr>
                <w:rFonts w:hint="eastAsia" w:ascii="华文楷体" w:hAnsi="华文楷体" w:eastAsia="华文楷体" w:cs="华文楷体"/>
                <w:sz w:val="24"/>
              </w:rPr>
            </w:pPr>
            <w:r>
              <w:rPr>
                <w:rFonts w:hint="eastAsia" w:ascii="华文楷体" w:hAnsi="华文楷体" w:eastAsia="华文楷体" w:cs="华文楷体"/>
                <w:sz w:val="24"/>
              </w:rPr>
              <w:t>（2）需要昼夜连续实验的项目没有审批和备案手续，未安排人员值班。</w:t>
            </w:r>
          </w:p>
        </w:tc>
        <w:tc>
          <w:tcPr>
            <w:tcW w:w="850" w:type="dxa"/>
            <w:vAlign w:val="center"/>
          </w:tcPr>
          <w:p w14:paraId="3A4608FD">
            <w:pPr>
              <w:spacing w:line="360" w:lineRule="exact"/>
              <w:jc w:val="center"/>
              <w:rPr>
                <w:rFonts w:hint="eastAsia" w:ascii="华文楷体" w:hAnsi="华文楷体" w:eastAsia="华文楷体" w:cs="华文楷体"/>
                <w:b/>
                <w:sz w:val="24"/>
              </w:rPr>
            </w:pPr>
            <w:r>
              <w:rPr>
                <w:rFonts w:hint="eastAsia" w:ascii="华文楷体" w:hAnsi="华文楷体" w:eastAsia="华文楷体" w:cs="华文楷体"/>
                <w:b/>
                <w:sz w:val="24"/>
              </w:rPr>
              <w:t>12分</w:t>
            </w:r>
          </w:p>
        </w:tc>
        <w:tc>
          <w:tcPr>
            <w:tcW w:w="851" w:type="dxa"/>
          </w:tcPr>
          <w:p w14:paraId="4A769481">
            <w:pPr>
              <w:spacing w:line="360" w:lineRule="exact"/>
              <w:jc w:val="center"/>
              <w:rPr>
                <w:rFonts w:hint="eastAsia" w:ascii="华文楷体" w:hAnsi="华文楷体" w:eastAsia="华文楷体" w:cs="华文楷体"/>
                <w:b/>
                <w:sz w:val="24"/>
              </w:rPr>
            </w:pPr>
            <w:r>
              <w:rPr>
                <w:rFonts w:hint="eastAsia" w:ascii="华文楷体" w:hAnsi="华文楷体" w:eastAsia="华文楷体" w:cs="华文楷体"/>
                <w:b/>
                <w:sz w:val="24"/>
              </w:rPr>
              <w:t>封停整治</w:t>
            </w:r>
          </w:p>
        </w:tc>
      </w:tr>
      <w:tr w14:paraId="2CD63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17" w:type="dxa"/>
            <w:gridSpan w:val="2"/>
            <w:vMerge w:val="continue"/>
          </w:tcPr>
          <w:p w14:paraId="3CA75499">
            <w:pPr>
              <w:spacing w:line="360" w:lineRule="exact"/>
              <w:jc w:val="center"/>
              <w:rPr>
                <w:rFonts w:hint="eastAsia" w:ascii="华文楷体" w:hAnsi="华文楷体" w:eastAsia="华文楷体" w:cs="华文楷体"/>
                <w:sz w:val="24"/>
              </w:rPr>
            </w:pPr>
          </w:p>
        </w:tc>
        <w:tc>
          <w:tcPr>
            <w:tcW w:w="1276" w:type="dxa"/>
            <w:vMerge w:val="continue"/>
          </w:tcPr>
          <w:p w14:paraId="735088FA">
            <w:pPr>
              <w:spacing w:line="360" w:lineRule="exact"/>
              <w:jc w:val="center"/>
              <w:rPr>
                <w:rFonts w:hint="eastAsia" w:ascii="华文楷体" w:hAnsi="华文楷体" w:eastAsia="华文楷体" w:cs="华文楷体"/>
                <w:sz w:val="24"/>
              </w:rPr>
            </w:pPr>
          </w:p>
        </w:tc>
        <w:tc>
          <w:tcPr>
            <w:tcW w:w="10348" w:type="dxa"/>
          </w:tcPr>
          <w:p w14:paraId="48F1FA95">
            <w:pPr>
              <w:spacing w:before="156" w:beforeLines="50" w:line="360" w:lineRule="exact"/>
              <w:rPr>
                <w:rFonts w:hint="eastAsia" w:ascii="华文楷体" w:hAnsi="华文楷体" w:eastAsia="华文楷体" w:cs="华文楷体"/>
                <w:sz w:val="24"/>
              </w:rPr>
            </w:pPr>
            <w:r>
              <w:rPr>
                <w:rFonts w:hint="eastAsia" w:ascii="华文楷体" w:hAnsi="华文楷体" w:eastAsia="华文楷体" w:cs="华文楷体"/>
                <w:sz w:val="24"/>
              </w:rPr>
              <w:t>（3）企业在校内开展的中试试验有产生有害或刺激性气体，产生的危废无申报手续。</w:t>
            </w:r>
          </w:p>
        </w:tc>
        <w:tc>
          <w:tcPr>
            <w:tcW w:w="850" w:type="dxa"/>
            <w:vAlign w:val="center"/>
          </w:tcPr>
          <w:p w14:paraId="230A451F">
            <w:pPr>
              <w:spacing w:line="360" w:lineRule="exact"/>
              <w:jc w:val="center"/>
              <w:rPr>
                <w:rFonts w:hint="eastAsia" w:ascii="华文楷体" w:hAnsi="华文楷体" w:eastAsia="华文楷体" w:cs="华文楷体"/>
                <w:b/>
                <w:sz w:val="24"/>
              </w:rPr>
            </w:pPr>
            <w:r>
              <w:rPr>
                <w:rFonts w:hint="eastAsia" w:ascii="华文楷体" w:hAnsi="华文楷体" w:eastAsia="华文楷体" w:cs="华文楷体"/>
                <w:b/>
                <w:sz w:val="24"/>
              </w:rPr>
              <w:t>12分</w:t>
            </w:r>
          </w:p>
        </w:tc>
        <w:tc>
          <w:tcPr>
            <w:tcW w:w="851" w:type="dxa"/>
          </w:tcPr>
          <w:p w14:paraId="4A7AA2A2">
            <w:pPr>
              <w:spacing w:line="360" w:lineRule="exact"/>
              <w:jc w:val="center"/>
              <w:rPr>
                <w:rFonts w:hint="eastAsia" w:ascii="华文楷体" w:hAnsi="华文楷体" w:eastAsia="华文楷体" w:cs="华文楷体"/>
                <w:b/>
                <w:sz w:val="24"/>
              </w:rPr>
            </w:pPr>
            <w:r>
              <w:rPr>
                <w:rFonts w:hint="eastAsia" w:ascii="华文楷体" w:hAnsi="华文楷体" w:eastAsia="华文楷体" w:cs="华文楷体"/>
                <w:b/>
                <w:sz w:val="24"/>
              </w:rPr>
              <w:t>封停整治</w:t>
            </w:r>
          </w:p>
        </w:tc>
      </w:tr>
      <w:tr w14:paraId="5884D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17" w:type="dxa"/>
            <w:gridSpan w:val="2"/>
            <w:vMerge w:val="continue"/>
          </w:tcPr>
          <w:p w14:paraId="2A280141">
            <w:pPr>
              <w:spacing w:line="360" w:lineRule="exact"/>
              <w:jc w:val="center"/>
              <w:rPr>
                <w:rFonts w:hint="eastAsia" w:ascii="华文楷体" w:hAnsi="华文楷体" w:eastAsia="华文楷体" w:cs="华文楷体"/>
                <w:sz w:val="24"/>
              </w:rPr>
            </w:pPr>
          </w:p>
        </w:tc>
        <w:tc>
          <w:tcPr>
            <w:tcW w:w="1276" w:type="dxa"/>
            <w:vMerge w:val="continue"/>
          </w:tcPr>
          <w:p w14:paraId="231ED224">
            <w:pPr>
              <w:spacing w:line="360" w:lineRule="exact"/>
              <w:jc w:val="center"/>
              <w:rPr>
                <w:rFonts w:hint="eastAsia" w:ascii="华文楷体" w:hAnsi="华文楷体" w:eastAsia="华文楷体" w:cs="华文楷体"/>
                <w:sz w:val="24"/>
              </w:rPr>
            </w:pPr>
          </w:p>
        </w:tc>
        <w:tc>
          <w:tcPr>
            <w:tcW w:w="10348" w:type="dxa"/>
          </w:tcPr>
          <w:p w14:paraId="5F7E6F70">
            <w:pPr>
              <w:spacing w:before="156" w:beforeLines="50" w:line="360" w:lineRule="exact"/>
              <w:rPr>
                <w:rFonts w:hint="eastAsia" w:ascii="华文楷体" w:hAnsi="华文楷体" w:eastAsia="华文楷体" w:cs="华文楷体"/>
                <w:sz w:val="24"/>
              </w:rPr>
            </w:pPr>
            <w:r>
              <w:rPr>
                <w:rFonts w:hint="eastAsia" w:ascii="华文楷体" w:hAnsi="华文楷体" w:eastAsia="华文楷体" w:cs="华文楷体"/>
                <w:sz w:val="24"/>
              </w:rPr>
              <w:t>（4）实验室内存在未经审批的留宿现象。</w:t>
            </w:r>
          </w:p>
        </w:tc>
        <w:tc>
          <w:tcPr>
            <w:tcW w:w="850" w:type="dxa"/>
            <w:vAlign w:val="center"/>
          </w:tcPr>
          <w:p w14:paraId="7D9C1F97">
            <w:pPr>
              <w:spacing w:line="360" w:lineRule="exact"/>
              <w:jc w:val="center"/>
              <w:rPr>
                <w:rFonts w:hint="eastAsia" w:ascii="华文楷体" w:hAnsi="华文楷体" w:eastAsia="华文楷体" w:cs="华文楷体"/>
                <w:b/>
                <w:sz w:val="24"/>
              </w:rPr>
            </w:pPr>
            <w:r>
              <w:rPr>
                <w:rFonts w:hint="eastAsia" w:ascii="华文楷体" w:hAnsi="华文楷体" w:eastAsia="华文楷体" w:cs="华文楷体"/>
                <w:b/>
                <w:sz w:val="24"/>
              </w:rPr>
              <w:t>12分</w:t>
            </w:r>
          </w:p>
        </w:tc>
        <w:tc>
          <w:tcPr>
            <w:tcW w:w="851" w:type="dxa"/>
          </w:tcPr>
          <w:p w14:paraId="422F3D99">
            <w:pPr>
              <w:spacing w:line="360" w:lineRule="exact"/>
              <w:jc w:val="center"/>
              <w:rPr>
                <w:rFonts w:hint="eastAsia" w:ascii="华文楷体" w:hAnsi="华文楷体" w:eastAsia="华文楷体" w:cs="华文楷体"/>
                <w:b/>
                <w:sz w:val="24"/>
              </w:rPr>
            </w:pPr>
            <w:r>
              <w:rPr>
                <w:rFonts w:hint="eastAsia" w:ascii="华文楷体" w:hAnsi="华文楷体" w:eastAsia="华文楷体" w:cs="华文楷体"/>
                <w:b/>
                <w:sz w:val="24"/>
              </w:rPr>
              <w:t>封停整治</w:t>
            </w:r>
          </w:p>
        </w:tc>
      </w:tr>
    </w:tbl>
    <w:p w14:paraId="67572D9C">
      <w:pPr>
        <w:spacing w:line="360" w:lineRule="exact"/>
        <w:jc w:val="center"/>
        <w:rPr>
          <w:rFonts w:hint="eastAsia" w:ascii="华文楷体" w:hAnsi="华文楷体" w:eastAsia="华文楷体" w:cs="华文楷体"/>
          <w:sz w:val="24"/>
        </w:rPr>
      </w:pPr>
    </w:p>
    <w:p w14:paraId="467CAEC1">
      <w:pPr>
        <w:spacing w:line="360" w:lineRule="exact"/>
        <w:jc w:val="center"/>
        <w:rPr>
          <w:rFonts w:hint="eastAsia" w:ascii="华文楷体" w:hAnsi="华文楷体" w:eastAsia="华文楷体" w:cs="华文楷体"/>
          <w:sz w:val="24"/>
        </w:rPr>
      </w:pPr>
    </w:p>
    <w:p w14:paraId="1F2414B8">
      <w:pPr>
        <w:spacing w:after="312" w:afterLines="100" w:line="360" w:lineRule="auto"/>
        <w:rPr>
          <w:rFonts w:ascii="仿宋_GB2312" w:eastAsia="仿宋_GB2312" w:cs="仿宋_GB2312"/>
          <w:color w:val="000000" w:themeColor="text1"/>
          <w:sz w:val="32"/>
          <w:szCs w:val="32"/>
          <w14:textFill>
            <w14:solidFill>
              <w14:schemeClr w14:val="tx1"/>
            </w14:solidFill>
          </w14:textFill>
        </w:rPr>
      </w:pPr>
    </w:p>
    <w:p w14:paraId="5AC270EC">
      <w:pPr>
        <w:spacing w:after="312" w:afterLines="100" w:line="360" w:lineRule="auto"/>
        <w:rPr>
          <w:rFonts w:ascii="仿宋_GB2312" w:eastAsia="仿宋_GB2312" w:cs="仿宋_GB2312"/>
          <w:color w:val="000000" w:themeColor="text1"/>
          <w:sz w:val="32"/>
          <w:szCs w:val="32"/>
          <w:lang w:val="zh-CN"/>
          <w14:textFill>
            <w14:solidFill>
              <w14:schemeClr w14:val="tx1"/>
            </w14:solidFill>
          </w14:textFill>
        </w:rPr>
      </w:pP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4BDEAD"/>
    <w:multiLevelType w:val="singleLevel"/>
    <w:tmpl w:val="B14BDEAD"/>
    <w:lvl w:ilvl="0" w:tentative="0">
      <w:start w:val="3"/>
      <w:numFmt w:val="chineseCounting"/>
      <w:suff w:val="nothing"/>
      <w:lvlText w:val="（%1）"/>
      <w:lvlJc w:val="left"/>
      <w:rPr>
        <w:rFonts w:hint="eastAsia"/>
      </w:rPr>
    </w:lvl>
  </w:abstractNum>
  <w:abstractNum w:abstractNumId="1">
    <w:nsid w:val="3906FB2D"/>
    <w:multiLevelType w:val="singleLevel"/>
    <w:tmpl w:val="3906FB2D"/>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DQxNDUzNrUwNzY3NbBQ0lEKTi0uzszPAykwNKwFAM12I4EtAAAA"/>
    <w:docVar w:name="commondata" w:val="eyJoZGlkIjoiMWVlZjQyYTA4MjEyMmM0NGE0ODJhMDA1ODBlYjA3MDEifQ=="/>
  </w:docVars>
  <w:rsids>
    <w:rsidRoot w:val="006C45E2"/>
    <w:rsid w:val="00000EF4"/>
    <w:rsid w:val="000143B6"/>
    <w:rsid w:val="000148AD"/>
    <w:rsid w:val="00036512"/>
    <w:rsid w:val="000650E2"/>
    <w:rsid w:val="000B21B6"/>
    <w:rsid w:val="000B3C53"/>
    <w:rsid w:val="000C7431"/>
    <w:rsid w:val="000D171A"/>
    <w:rsid w:val="000E4B44"/>
    <w:rsid w:val="000F2777"/>
    <w:rsid w:val="00114B68"/>
    <w:rsid w:val="00133F21"/>
    <w:rsid w:val="001644D7"/>
    <w:rsid w:val="0016684C"/>
    <w:rsid w:val="00173AA1"/>
    <w:rsid w:val="00175A4F"/>
    <w:rsid w:val="0017636B"/>
    <w:rsid w:val="001C4BCB"/>
    <w:rsid w:val="001D0884"/>
    <w:rsid w:val="0020545D"/>
    <w:rsid w:val="00210CBC"/>
    <w:rsid w:val="00262859"/>
    <w:rsid w:val="002646A8"/>
    <w:rsid w:val="002A4B04"/>
    <w:rsid w:val="002B0CD9"/>
    <w:rsid w:val="002B30AD"/>
    <w:rsid w:val="002C3FE0"/>
    <w:rsid w:val="002D707D"/>
    <w:rsid w:val="002F778B"/>
    <w:rsid w:val="00314D8D"/>
    <w:rsid w:val="00324455"/>
    <w:rsid w:val="00324861"/>
    <w:rsid w:val="00345119"/>
    <w:rsid w:val="003772E0"/>
    <w:rsid w:val="00383118"/>
    <w:rsid w:val="00387AE1"/>
    <w:rsid w:val="003A56AD"/>
    <w:rsid w:val="004460E0"/>
    <w:rsid w:val="00451F14"/>
    <w:rsid w:val="00470958"/>
    <w:rsid w:val="00471BF9"/>
    <w:rsid w:val="0047572A"/>
    <w:rsid w:val="00480DA9"/>
    <w:rsid w:val="004C25B6"/>
    <w:rsid w:val="004D27C6"/>
    <w:rsid w:val="004E1C82"/>
    <w:rsid w:val="00541239"/>
    <w:rsid w:val="00547B7F"/>
    <w:rsid w:val="0059182C"/>
    <w:rsid w:val="005A7946"/>
    <w:rsid w:val="005C1AD9"/>
    <w:rsid w:val="006148C9"/>
    <w:rsid w:val="00615EF1"/>
    <w:rsid w:val="0061757B"/>
    <w:rsid w:val="0062346E"/>
    <w:rsid w:val="00637F71"/>
    <w:rsid w:val="00656372"/>
    <w:rsid w:val="006819FB"/>
    <w:rsid w:val="00682C85"/>
    <w:rsid w:val="006C45E2"/>
    <w:rsid w:val="006D0452"/>
    <w:rsid w:val="006D4DA6"/>
    <w:rsid w:val="006F058B"/>
    <w:rsid w:val="006F5E4E"/>
    <w:rsid w:val="00707623"/>
    <w:rsid w:val="00717202"/>
    <w:rsid w:val="007649C5"/>
    <w:rsid w:val="007703C2"/>
    <w:rsid w:val="00777BF7"/>
    <w:rsid w:val="00784E2F"/>
    <w:rsid w:val="00796B6D"/>
    <w:rsid w:val="007A0919"/>
    <w:rsid w:val="007E405D"/>
    <w:rsid w:val="0081785E"/>
    <w:rsid w:val="00817D7A"/>
    <w:rsid w:val="00824804"/>
    <w:rsid w:val="00824EDD"/>
    <w:rsid w:val="00825FDC"/>
    <w:rsid w:val="0084024A"/>
    <w:rsid w:val="00864908"/>
    <w:rsid w:val="008676D4"/>
    <w:rsid w:val="0087715E"/>
    <w:rsid w:val="008833E4"/>
    <w:rsid w:val="00894CA8"/>
    <w:rsid w:val="008E6532"/>
    <w:rsid w:val="00905BB9"/>
    <w:rsid w:val="0092401F"/>
    <w:rsid w:val="0092653E"/>
    <w:rsid w:val="009325BB"/>
    <w:rsid w:val="009601AD"/>
    <w:rsid w:val="00966E9B"/>
    <w:rsid w:val="00984B0C"/>
    <w:rsid w:val="009864D1"/>
    <w:rsid w:val="009A1D4C"/>
    <w:rsid w:val="009A7CC4"/>
    <w:rsid w:val="009B390E"/>
    <w:rsid w:val="009E1A1E"/>
    <w:rsid w:val="00A017E7"/>
    <w:rsid w:val="00A12936"/>
    <w:rsid w:val="00A34B4F"/>
    <w:rsid w:val="00A37829"/>
    <w:rsid w:val="00A54207"/>
    <w:rsid w:val="00A756FF"/>
    <w:rsid w:val="00A9406C"/>
    <w:rsid w:val="00AC0A71"/>
    <w:rsid w:val="00B04D40"/>
    <w:rsid w:val="00B13480"/>
    <w:rsid w:val="00B2207C"/>
    <w:rsid w:val="00B532C8"/>
    <w:rsid w:val="00B874F0"/>
    <w:rsid w:val="00BB5531"/>
    <w:rsid w:val="00BB78D5"/>
    <w:rsid w:val="00BC1FAC"/>
    <w:rsid w:val="00BC373B"/>
    <w:rsid w:val="00BF00C6"/>
    <w:rsid w:val="00C33748"/>
    <w:rsid w:val="00C7280B"/>
    <w:rsid w:val="00CB5DF4"/>
    <w:rsid w:val="00CB70D9"/>
    <w:rsid w:val="00CD13B8"/>
    <w:rsid w:val="00D051ED"/>
    <w:rsid w:val="00D432BD"/>
    <w:rsid w:val="00D435CB"/>
    <w:rsid w:val="00D51BEA"/>
    <w:rsid w:val="00D621EC"/>
    <w:rsid w:val="00D7292B"/>
    <w:rsid w:val="00D74203"/>
    <w:rsid w:val="00D9358A"/>
    <w:rsid w:val="00D9703A"/>
    <w:rsid w:val="00DA7866"/>
    <w:rsid w:val="00DD6702"/>
    <w:rsid w:val="00DF1AF3"/>
    <w:rsid w:val="00E0062A"/>
    <w:rsid w:val="00E044D8"/>
    <w:rsid w:val="00E22764"/>
    <w:rsid w:val="00E5492E"/>
    <w:rsid w:val="00E8554B"/>
    <w:rsid w:val="00EA4A20"/>
    <w:rsid w:val="00EC02DE"/>
    <w:rsid w:val="00EE4D60"/>
    <w:rsid w:val="00EE6651"/>
    <w:rsid w:val="00EE6DB6"/>
    <w:rsid w:val="00F0033C"/>
    <w:rsid w:val="00F40FAF"/>
    <w:rsid w:val="00F474A9"/>
    <w:rsid w:val="00F6224A"/>
    <w:rsid w:val="00F8788D"/>
    <w:rsid w:val="00F975FE"/>
    <w:rsid w:val="00FB2193"/>
    <w:rsid w:val="012D779F"/>
    <w:rsid w:val="08460264"/>
    <w:rsid w:val="0937117D"/>
    <w:rsid w:val="0CCE58EB"/>
    <w:rsid w:val="0F850A75"/>
    <w:rsid w:val="216E2D50"/>
    <w:rsid w:val="2AFF7723"/>
    <w:rsid w:val="2B434200"/>
    <w:rsid w:val="32B11B15"/>
    <w:rsid w:val="387660A0"/>
    <w:rsid w:val="3A0479DD"/>
    <w:rsid w:val="3E43206E"/>
    <w:rsid w:val="42883B1E"/>
    <w:rsid w:val="48904403"/>
    <w:rsid w:val="4A9847D8"/>
    <w:rsid w:val="4B483182"/>
    <w:rsid w:val="52554763"/>
    <w:rsid w:val="55150764"/>
    <w:rsid w:val="5B941D12"/>
    <w:rsid w:val="60B6055C"/>
    <w:rsid w:val="6AD8269F"/>
    <w:rsid w:val="6B2A38D2"/>
    <w:rsid w:val="6CB930F8"/>
    <w:rsid w:val="6FB967AA"/>
    <w:rsid w:val="6FD728F0"/>
    <w:rsid w:val="7320655C"/>
    <w:rsid w:val="76DC7E5A"/>
    <w:rsid w:val="77941463"/>
    <w:rsid w:val="78E516B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jc w:val="left"/>
    </w:pPr>
    <w:rPr>
      <w:kern w:val="0"/>
      <w:sz w:val="24"/>
      <w:szCs w:val="24"/>
    </w:rPr>
  </w:style>
  <w:style w:type="paragraph" w:styleId="7">
    <w:name w:val="annotation subject"/>
    <w:basedOn w:val="2"/>
    <w:next w:val="2"/>
    <w:link w:val="15"/>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脚 字符"/>
    <w:basedOn w:val="9"/>
    <w:link w:val="4"/>
    <w:semiHidden/>
    <w:qFormat/>
    <w:locked/>
    <w:uiPriority w:val="99"/>
    <w:rPr>
      <w:sz w:val="18"/>
      <w:szCs w:val="18"/>
    </w:rPr>
  </w:style>
  <w:style w:type="character" w:customStyle="1" w:styleId="12">
    <w:name w:val="页眉 字符"/>
    <w:basedOn w:val="9"/>
    <w:link w:val="5"/>
    <w:semiHidden/>
    <w:qFormat/>
    <w:locked/>
    <w:uiPriority w:val="99"/>
    <w:rPr>
      <w:sz w:val="18"/>
      <w:szCs w:val="18"/>
    </w:rPr>
  </w:style>
  <w:style w:type="character" w:customStyle="1" w:styleId="13">
    <w:name w:val="批注框文本 字符"/>
    <w:basedOn w:val="9"/>
    <w:link w:val="3"/>
    <w:semiHidden/>
    <w:qFormat/>
    <w:uiPriority w:val="99"/>
    <w:rPr>
      <w:rFonts w:cs="Calibri"/>
      <w:sz w:val="0"/>
      <w:szCs w:val="0"/>
    </w:rPr>
  </w:style>
  <w:style w:type="character" w:customStyle="1" w:styleId="14">
    <w:name w:val="批注文字 字符"/>
    <w:basedOn w:val="9"/>
    <w:link w:val="2"/>
    <w:semiHidden/>
    <w:qFormat/>
    <w:uiPriority w:val="99"/>
    <w:rPr>
      <w:rFonts w:cs="Calibri"/>
      <w:kern w:val="2"/>
      <w:sz w:val="21"/>
      <w:szCs w:val="21"/>
    </w:rPr>
  </w:style>
  <w:style w:type="character" w:customStyle="1" w:styleId="15">
    <w:name w:val="批注主题 字符"/>
    <w:basedOn w:val="14"/>
    <w:link w:val="7"/>
    <w:semiHidden/>
    <w:qFormat/>
    <w:uiPriority w:val="99"/>
    <w:rPr>
      <w:rFonts w:cs="Calibri"/>
      <w:b/>
      <w:bCs/>
      <w:kern w:val="2"/>
      <w:sz w:val="21"/>
      <w:szCs w:val="21"/>
    </w:rPr>
  </w:style>
  <w:style w:type="paragraph" w:styleId="16">
    <w:name w:val="List Paragraph"/>
    <w:basedOn w:val="1"/>
    <w:qFormat/>
    <w:uiPriority w:val="34"/>
    <w:pPr>
      <w:ind w:firstLine="420" w:firstLineChars="200"/>
    </w:pPr>
    <w:rPr>
      <w:rFonts w:ascii="Times New Roman" w:hAnsi="Times New Roman"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Pages>
  <Words>4705</Words>
  <Characters>4766</Characters>
  <Lines>297</Lines>
  <Paragraphs>222</Paragraphs>
  <TotalTime>130</TotalTime>
  <ScaleCrop>false</ScaleCrop>
  <LinksUpToDate>false</LinksUpToDate>
  <CharactersWithSpaces>4852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2025-04-18T02:29:00Z</dcterms:created>
  <dc:creator>admin</dc:creator>
  <cp:lastModifiedBy>舒明贵</cp:lastModifiedBy>
  <cp:lastPrinted>2025-04-21T01:22:00Z</cp:lastPrinted>
  <dcterms:modified xsi:type="dcterms:W3CDTF">2025-05-14T05:21:30Z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03A2BF5673ED45DC96AC27C3F355343B_13</vt:lpwstr>
  </property>
  <property fmtid="{D5CDD505-2E9C-101B-9397-08002B2CF9AE}" pid="4" name="KSOTemplateDocerSaveRecord">
    <vt:lpwstr>eyJoZGlkIjoiNDk2Y2NjMTA2OGY2YzgxNDNlNTNhZjEzMjRhOTZiNTEiLCJ1c2VySWQiOiIyNjU5NTg3MjgifQ==</vt:lpwstr>
  </property>
</Properties>
</file>